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55" w:rsidRDefault="00712434">
      <w:pPr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D82355" w:rsidRDefault="00D8235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D82355" w:rsidRDefault="00D8235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D82355" w:rsidRDefault="00D8235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D82355" w:rsidRDefault="00D8235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D82355" w:rsidRDefault="00D8235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D82355" w:rsidRDefault="001E546D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宁郭镇人民政府</w:t>
      </w:r>
    </w:p>
    <w:p w:rsidR="00D82355" w:rsidRDefault="00712434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2018年度部门预算</w:t>
      </w:r>
    </w:p>
    <w:p w:rsidR="00D82355" w:rsidRDefault="00D82355">
      <w:pPr>
        <w:jc w:val="center"/>
        <w:rPr>
          <w:rFonts w:ascii="黑体" w:eastAsia="黑体" w:hAnsi="黑体" w:cs="黑体"/>
          <w:sz w:val="52"/>
          <w:szCs w:val="52"/>
        </w:rPr>
      </w:pPr>
    </w:p>
    <w:p w:rsidR="00D82355" w:rsidRDefault="00D82355">
      <w:pPr>
        <w:jc w:val="center"/>
        <w:rPr>
          <w:rFonts w:ascii="黑体" w:eastAsia="黑体" w:hAnsi="黑体" w:cs="黑体"/>
          <w:sz w:val="52"/>
          <w:szCs w:val="52"/>
        </w:rPr>
      </w:pPr>
    </w:p>
    <w:p w:rsidR="00D82355" w:rsidRDefault="00D82355">
      <w:pPr>
        <w:jc w:val="center"/>
        <w:rPr>
          <w:rFonts w:ascii="黑体" w:eastAsia="黑体" w:hAnsi="黑体" w:cs="黑体"/>
          <w:sz w:val="52"/>
          <w:szCs w:val="52"/>
        </w:rPr>
      </w:pPr>
    </w:p>
    <w:p w:rsidR="00D82355" w:rsidRDefault="00D82355">
      <w:pPr>
        <w:jc w:val="center"/>
        <w:rPr>
          <w:rFonts w:ascii="黑体" w:eastAsia="黑体" w:hAnsi="黑体" w:cs="黑体"/>
          <w:sz w:val="52"/>
          <w:szCs w:val="52"/>
        </w:rPr>
      </w:pPr>
    </w:p>
    <w:p w:rsidR="00D82355" w:rsidRDefault="00D82355">
      <w:pPr>
        <w:jc w:val="center"/>
        <w:rPr>
          <w:rFonts w:ascii="黑体" w:eastAsia="黑体" w:hAnsi="黑体" w:cs="黑体"/>
          <w:sz w:val="52"/>
          <w:szCs w:val="52"/>
        </w:rPr>
      </w:pPr>
    </w:p>
    <w:p w:rsidR="00D82355" w:rsidRDefault="00D82355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82355" w:rsidRDefault="00D82355">
      <w:pPr>
        <w:adjustRightInd w:val="0"/>
        <w:snapToGrid w:val="0"/>
        <w:spacing w:line="360" w:lineRule="auto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82355" w:rsidRDefault="00D82355" w:rsidP="001E546D">
      <w:pPr>
        <w:kinsoku w:val="0"/>
        <w:overflowPunct w:val="0"/>
        <w:adjustRightInd w:val="0"/>
        <w:snapToGrid w:val="0"/>
        <w:spacing w:line="360" w:lineRule="auto"/>
        <w:ind w:left="101" w:right="3569"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left="-142" w:right="51" w:firstLineChars="7" w:firstLine="31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目</w:t>
      </w:r>
      <w:r>
        <w:rPr>
          <w:rFonts w:ascii="仿宋_GB2312" w:eastAsia="仿宋_GB2312" w:hAnsi="仿宋_GB2312" w:cs="仿宋_GB2312" w:hint="eastAsia"/>
          <w:spacing w:val="2"/>
          <w:sz w:val="44"/>
          <w:szCs w:val="44"/>
        </w:rPr>
        <w:t xml:space="preserve"> </w:t>
      </w:r>
      <w:r>
        <w:rPr>
          <w:rFonts w:ascii="仿宋_GB2312" w:eastAsia="仿宋_GB2312" w:hAnsi="仿宋_GB2312" w:cs="仿宋_GB2312" w:hint="eastAsia"/>
          <w:sz w:val="44"/>
          <w:szCs w:val="44"/>
        </w:rPr>
        <w:t>录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3569" w:firstLineChars="200" w:firstLine="643"/>
        <w:rPr>
          <w:rFonts w:ascii="仿宋_GB2312" w:eastAsia="仿宋_GB2312" w:hAnsi="仿宋_GB2312" w:cs="仿宋_GB2312"/>
          <w:w w:val="99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第一部分  概况</w:t>
      </w:r>
      <w:r>
        <w:rPr>
          <w:rFonts w:ascii="仿宋_GB2312" w:eastAsia="仿宋_GB2312" w:hAnsi="仿宋_GB2312" w:cs="仿宋_GB2312" w:hint="eastAsia"/>
          <w:w w:val="99"/>
          <w:sz w:val="32"/>
          <w:szCs w:val="32"/>
        </w:rPr>
        <w:t xml:space="preserve"> 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3569" w:firstLineChars="300" w:firstLine="9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一、主要职能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3569" w:firstLineChars="300" w:firstLine="96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二、部门预算单位构成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21"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第二部门</w:t>
      </w:r>
      <w:r w:rsidR="00E7588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宁郭镇人民政府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2018年部门预算情况说明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21"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第三部分 名词解释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pacing w:val="-32"/>
          <w:sz w:val="32"/>
          <w:szCs w:val="32"/>
        </w:rPr>
        <w:t xml:space="preserve"> </w:t>
      </w:r>
      <w:r w:rsidR="00E75888">
        <w:rPr>
          <w:rFonts w:ascii="仿宋_GB2312" w:eastAsia="仿宋_GB2312" w:hAnsi="仿宋_GB2312" w:cs="仿宋_GB2312" w:hint="eastAsia"/>
          <w:sz w:val="32"/>
          <w:szCs w:val="32"/>
        </w:rPr>
        <w:t xml:space="preserve"> 宁郭镇人民政府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pacing w:val="-116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年度部门预算表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一、部门收支总体情况表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二、部门收入总体情况表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三、部门支出总体情况表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四、财政拨款收支总体情况表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五、一般公共预算支出情况表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六、一般公共预算基本支出情况表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七、一般公共预算“三公”经费支出情况表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八、政府性基金预算支出情况表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九、国有资本经营预算收支情况表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十、机关运行经费</w:t>
      </w: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51" w:firstLineChars="600" w:firstLine="19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十一、预算项目支出绩效目标表</w:t>
      </w:r>
    </w:p>
    <w:p w:rsidR="00D82355" w:rsidRDefault="00D82355" w:rsidP="001E546D">
      <w:pPr>
        <w:adjustRightInd w:val="0"/>
        <w:snapToGrid w:val="0"/>
        <w:spacing w:line="360" w:lineRule="auto"/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D82355" w:rsidP="001E546D">
      <w:pPr>
        <w:adjustRightInd w:val="0"/>
        <w:snapToGrid w:val="0"/>
        <w:spacing w:line="360" w:lineRule="auto"/>
        <w:ind w:firstLineChars="1200" w:firstLine="3855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D82355" w:rsidRDefault="00712434" w:rsidP="001E546D">
      <w:pPr>
        <w:adjustRightInd w:val="0"/>
        <w:snapToGrid w:val="0"/>
        <w:spacing w:line="360" w:lineRule="auto"/>
        <w:ind w:firstLineChars="1200" w:firstLine="3855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第一部分</w:t>
      </w:r>
    </w:p>
    <w:p w:rsidR="00D82355" w:rsidRDefault="001E546D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概况</w:t>
      </w:r>
    </w:p>
    <w:p w:rsidR="00D82355" w:rsidRDefault="00D82355" w:rsidP="001E546D">
      <w:pPr>
        <w:adjustRightInd w:val="0"/>
        <w:snapToGrid w:val="0"/>
        <w:spacing w:line="360" w:lineRule="auto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712434" w:rsidP="001E546D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主要职能</w:t>
      </w:r>
    </w:p>
    <w:p w:rsidR="00D82355" w:rsidRDefault="00712434" w:rsidP="001E546D">
      <w:pPr>
        <w:pStyle w:val="a3"/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Chars="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E546D">
        <w:rPr>
          <w:rFonts w:ascii="仿宋_GB2312" w:eastAsia="仿宋_GB2312" w:hAnsi="仿宋_GB2312" w:cs="仿宋_GB2312" w:hint="eastAsia"/>
          <w:sz w:val="32"/>
          <w:szCs w:val="32"/>
        </w:rPr>
        <w:t>机构设置情况</w:t>
      </w:r>
    </w:p>
    <w:p w:rsidR="002F0142" w:rsidRPr="002F0142" w:rsidRDefault="00A257D3" w:rsidP="002F0142">
      <w:pPr>
        <w:pStyle w:val="p0"/>
        <w:ind w:firstLine="640"/>
        <w:rPr>
          <w:rFonts w:ascii="仿宋" w:eastAsia="仿宋" w:hAnsi="仿宋"/>
          <w:sz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Pr="002F0142">
        <w:rPr>
          <w:rFonts w:ascii="仿宋" w:eastAsia="仿宋" w:hAnsi="仿宋" w:cs="仿宋_GB2312" w:hint="eastAsia"/>
          <w:sz w:val="32"/>
          <w:szCs w:val="32"/>
        </w:rPr>
        <w:t>下设三</w:t>
      </w:r>
      <w:r w:rsidR="002F0142" w:rsidRPr="002F0142">
        <w:rPr>
          <w:rFonts w:ascii="仿宋" w:eastAsia="仿宋" w:hAnsi="仿宋" w:hint="eastAsia"/>
          <w:sz w:val="32"/>
        </w:rPr>
        <w:t>个办公室和五个中心，三个办公室分别是：党政办公室、社会事务办公室、经济办公室，五</w:t>
      </w:r>
      <w:r w:rsidR="00E75888">
        <w:rPr>
          <w:rFonts w:ascii="仿宋" w:eastAsia="仿宋" w:hAnsi="仿宋" w:hint="eastAsia"/>
          <w:sz w:val="32"/>
        </w:rPr>
        <w:t>个</w:t>
      </w:r>
      <w:r w:rsidR="002F0142" w:rsidRPr="002F0142">
        <w:rPr>
          <w:rFonts w:ascii="仿宋" w:eastAsia="仿宋" w:hAnsi="仿宋" w:hint="eastAsia"/>
          <w:sz w:val="32"/>
        </w:rPr>
        <w:t>中心分别是：农业服务中心、文化服务中心、村镇建设发展中心、计生服务中心、民政服务中心。</w:t>
      </w:r>
    </w:p>
    <w:p w:rsidR="00A257D3" w:rsidRPr="002F0142" w:rsidRDefault="00A257D3" w:rsidP="00A257D3">
      <w:pPr>
        <w:pStyle w:val="a3"/>
        <w:kinsoku w:val="0"/>
        <w:overflowPunct w:val="0"/>
        <w:adjustRightInd w:val="0"/>
        <w:snapToGrid w:val="0"/>
        <w:spacing w:line="360" w:lineRule="auto"/>
        <w:ind w:left="1702" w:right="3569" w:firstLineChars="0" w:firstLine="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D82355" w:rsidRPr="001E546D" w:rsidRDefault="00712434" w:rsidP="001E546D">
      <w:pPr>
        <w:pStyle w:val="a3"/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Chars="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E546D">
        <w:rPr>
          <w:rFonts w:ascii="仿宋_GB2312" w:eastAsia="仿宋_GB2312" w:hAnsi="仿宋_GB2312" w:cs="仿宋_GB2312" w:hint="eastAsia"/>
          <w:sz w:val="32"/>
          <w:szCs w:val="32"/>
        </w:rPr>
        <w:t>部门职责</w:t>
      </w:r>
    </w:p>
    <w:p w:rsidR="001E546D" w:rsidRPr="00303C07" w:rsidRDefault="001E546D" w:rsidP="001E546D">
      <w:pPr>
        <w:rPr>
          <w:rFonts w:ascii="隶书" w:eastAsia="隶书" w:hAnsi="隶书"/>
          <w:sz w:val="48"/>
          <w:szCs w:val="48"/>
        </w:rPr>
        <w:sectPr w:rsidR="001E546D" w:rsidRPr="00303C07" w:rsidSect="00A257D3">
          <w:footerReference w:type="default" r:id="rId9"/>
          <w:pgSz w:w="11906" w:h="16838"/>
          <w:pgMar w:top="1440" w:right="1531" w:bottom="1440" w:left="1587" w:header="850" w:footer="992" w:gutter="0"/>
          <w:pgNumType w:fmt="numberInDash" w:start="1"/>
          <w:cols w:space="0"/>
          <w:docGrid w:type="lines" w:linePitch="317"/>
        </w:sect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</w:t>
      </w:r>
      <w:r w:rsidRPr="00303C07">
        <w:rPr>
          <w:rFonts w:ascii="宋体" w:hAnsi="宋体" w:hint="eastAsia"/>
          <w:color w:val="222222"/>
          <w:sz w:val="32"/>
          <w:szCs w:val="32"/>
          <w:shd w:val="clear" w:color="auto" w:fill="FFFFFF"/>
        </w:rPr>
        <w:t>主要职能：</w:t>
      </w:r>
      <w:r w:rsidRPr="00303C07">
        <w:rPr>
          <w:rFonts w:ascii="宋体" w:hAnsi="宋体"/>
          <w:color w:val="222222"/>
          <w:sz w:val="32"/>
          <w:szCs w:val="32"/>
          <w:shd w:val="clear" w:color="auto" w:fill="FFFFFF"/>
        </w:rPr>
        <w:t>宣传和贯彻执行党的路线、方针、政策</w:t>
      </w:r>
      <w:r w:rsidRPr="00303C07">
        <w:rPr>
          <w:rFonts w:ascii="宋体" w:hAnsi="宋体" w:hint="eastAsia"/>
          <w:color w:val="222222"/>
          <w:sz w:val="32"/>
          <w:szCs w:val="32"/>
          <w:shd w:val="clear" w:color="auto" w:fill="FFFFFF"/>
        </w:rPr>
        <w:t>，</w:t>
      </w:r>
      <w:r w:rsidRPr="00303C07">
        <w:rPr>
          <w:rFonts w:ascii="宋体" w:hAnsi="宋体"/>
          <w:sz w:val="32"/>
          <w:szCs w:val="32"/>
          <w:shd w:val="clear" w:color="auto" w:fill="FFFFFF"/>
        </w:rPr>
        <w:t>执行本行政区域内的经济和社会发展计划、预算，管理本行政区域内的经济、教育、科学、文化、卫生、体育事业</w:t>
      </w:r>
      <w:r w:rsidRPr="00303C07">
        <w:rPr>
          <w:rFonts w:ascii="宋体" w:hAnsi="宋体" w:hint="eastAsia"/>
          <w:sz w:val="32"/>
          <w:szCs w:val="32"/>
          <w:shd w:val="clear" w:color="auto" w:fill="FFFFFF"/>
        </w:rPr>
        <w:t>以及</w:t>
      </w:r>
      <w:r w:rsidRPr="00303C07">
        <w:rPr>
          <w:rFonts w:ascii="宋体" w:hAnsi="宋体"/>
          <w:sz w:val="32"/>
          <w:szCs w:val="32"/>
          <w:shd w:val="clear" w:color="auto" w:fill="FFFFFF"/>
        </w:rPr>
        <w:t>财政、民政、公安、司法行政、计划生育等行政工作</w:t>
      </w:r>
      <w:r w:rsidRPr="00303C07">
        <w:rPr>
          <w:rFonts w:ascii="宋体" w:hAnsi="宋体" w:hint="eastAsia"/>
          <w:sz w:val="32"/>
          <w:szCs w:val="32"/>
          <w:shd w:val="clear" w:color="auto" w:fill="FFFFFF"/>
        </w:rPr>
        <w:t>，</w:t>
      </w:r>
      <w:r w:rsidRPr="00303C07">
        <w:rPr>
          <w:rFonts w:ascii="宋体" w:hAnsi="宋体"/>
          <w:color w:val="222222"/>
          <w:sz w:val="32"/>
          <w:szCs w:val="32"/>
          <w:shd w:val="clear" w:color="auto" w:fill="FFFFFF"/>
        </w:rPr>
        <w:t>维护社会秩序，保障公民的人身权利、民主权利和其他权利</w:t>
      </w:r>
      <w:r>
        <w:rPr>
          <w:rFonts w:ascii="宋体" w:hAnsi="宋体" w:hint="eastAsia"/>
          <w:color w:val="222222"/>
          <w:sz w:val="32"/>
          <w:szCs w:val="32"/>
          <w:shd w:val="clear" w:color="auto" w:fill="FFFFFF"/>
        </w:rPr>
        <w:t>。</w:t>
      </w:r>
    </w:p>
    <w:p w:rsidR="001E546D" w:rsidRPr="001E546D" w:rsidRDefault="001E546D" w:rsidP="001E546D">
      <w:pPr>
        <w:pStyle w:val="a3"/>
        <w:ind w:firstLine="622"/>
        <w:rPr>
          <w:rFonts w:ascii="仿宋_GB2312" w:eastAsia="仿宋_GB2312" w:hAnsi="仿宋_GB2312" w:cs="仿宋_GB2312"/>
          <w:sz w:val="32"/>
          <w:szCs w:val="32"/>
        </w:rPr>
      </w:pPr>
    </w:p>
    <w:p w:rsidR="001E546D" w:rsidRPr="001E546D" w:rsidRDefault="001E546D" w:rsidP="001E546D">
      <w:pPr>
        <w:pStyle w:val="a3"/>
        <w:kinsoku w:val="0"/>
        <w:overflowPunct w:val="0"/>
        <w:adjustRightInd w:val="0"/>
        <w:snapToGrid w:val="0"/>
        <w:spacing w:line="360" w:lineRule="auto"/>
        <w:ind w:left="1702" w:right="3569" w:firstLineChars="0" w:firstLine="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712434" w:rsidP="001E546D">
      <w:pPr>
        <w:kinsoku w:val="0"/>
        <w:overflowPunct w:val="0"/>
        <w:adjustRightInd w:val="0"/>
        <w:snapToGrid w:val="0"/>
        <w:spacing w:line="360" w:lineRule="auto"/>
        <w:ind w:right="3569" w:firstLineChars="200" w:firstLine="622"/>
        <w:jc w:val="left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</w:t>
      </w:r>
      <w:r w:rsidR="00A257D3"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预算单位构成</w:t>
      </w:r>
    </w:p>
    <w:p w:rsidR="00A257D3" w:rsidRPr="003A1FB6" w:rsidRDefault="00A257D3" w:rsidP="00A257D3">
      <w:pPr>
        <w:widowControl/>
        <w:ind w:firstLineChars="200" w:firstLine="622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宁郭镇人民政府有二级预算单位0个，三级预算单位0个。本单位是一级预算单位。</w:t>
      </w:r>
    </w:p>
    <w:p w:rsidR="00D82355" w:rsidRDefault="00D82355" w:rsidP="001E546D">
      <w:pPr>
        <w:widowControl/>
        <w:shd w:val="clear" w:color="auto" w:fill="FFFFFF"/>
        <w:spacing w:line="450" w:lineRule="atLeast"/>
        <w:ind w:firstLineChars="1102" w:firstLine="3427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712434">
      <w:pPr>
        <w:widowControl/>
        <w:shd w:val="clear" w:color="auto" w:fill="FFFFFF"/>
        <w:spacing w:line="450" w:lineRule="atLeas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第二部分</w:t>
      </w:r>
    </w:p>
    <w:p w:rsidR="00D82355" w:rsidRDefault="00A257D3">
      <w:pPr>
        <w:widowControl/>
        <w:shd w:val="clear" w:color="auto" w:fill="FFFFFF"/>
        <w:spacing w:line="450" w:lineRule="atLeas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2018年度部门预算情况说明</w:t>
      </w:r>
    </w:p>
    <w:p w:rsidR="00D82355" w:rsidRDefault="00D82355" w:rsidP="001E546D">
      <w:pPr>
        <w:adjustRightInd w:val="0"/>
        <w:snapToGrid w:val="0"/>
        <w:spacing w:line="360" w:lineRule="auto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712434" w:rsidP="001E546D">
      <w:pPr>
        <w:adjustRightInd w:val="0"/>
        <w:snapToGrid w:val="0"/>
        <w:spacing w:line="360" w:lineRule="auto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一、收入支出预算总体情况说明</w:t>
      </w:r>
    </w:p>
    <w:p w:rsidR="00D82355" w:rsidRDefault="0031444E" w:rsidP="001E546D">
      <w:pPr>
        <w:adjustRightInd w:val="0"/>
        <w:snapToGrid w:val="0"/>
        <w:spacing w:line="360" w:lineRule="auto"/>
        <w:ind w:firstLineChars="200" w:firstLine="622"/>
        <w:rPr>
          <w:rFonts w:ascii="Arial" w:eastAsia="仿宋_GB2312" w:hAnsi="Arial" w:cs="Arial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2018年收入</w:t>
      </w:r>
      <w:r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万元，支出总计</w:t>
      </w:r>
      <w:r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万元，与2017年相比，收、支总计各增加</w:t>
      </w:r>
      <w:r>
        <w:rPr>
          <w:rFonts w:ascii="Arial" w:eastAsia="仿宋_GB2312" w:hAnsi="Arial" w:cs="Arial" w:hint="eastAsia"/>
          <w:sz w:val="32"/>
          <w:szCs w:val="32"/>
        </w:rPr>
        <w:t>58.53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万元，增长</w:t>
      </w:r>
      <w:r>
        <w:rPr>
          <w:rFonts w:ascii="Arial" w:eastAsia="仿宋_GB2312" w:hAnsi="Arial" w:cs="Arial" w:hint="eastAsia"/>
          <w:sz w:val="32"/>
          <w:szCs w:val="32"/>
        </w:rPr>
        <w:t>6.79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%。主要原因：</w:t>
      </w:r>
      <w:r w:rsidR="00E51C8D">
        <w:rPr>
          <w:rFonts w:ascii="仿宋_GB2312" w:eastAsia="仿宋_GB2312" w:hAnsi="仿宋_GB2312" w:cs="仿宋_GB2312" w:hint="eastAsia"/>
          <w:sz w:val="32"/>
          <w:szCs w:val="32"/>
        </w:rPr>
        <w:t>增加</w:t>
      </w:r>
      <w:r w:rsidR="00E51C8D">
        <w:rPr>
          <w:rFonts w:ascii="Arial" w:eastAsia="仿宋_GB2312" w:hAnsi="Arial" w:cs="Arial" w:hint="eastAsia"/>
          <w:sz w:val="32"/>
          <w:szCs w:val="32"/>
        </w:rPr>
        <w:t>在职人员月考核奖支出</w:t>
      </w:r>
      <w:r w:rsidR="00E75888">
        <w:rPr>
          <w:rFonts w:ascii="Arial" w:eastAsia="仿宋_GB2312" w:hAnsi="Arial" w:cs="Arial" w:hint="eastAsia"/>
          <w:sz w:val="32"/>
          <w:szCs w:val="32"/>
        </w:rPr>
        <w:t>和工资增长</w:t>
      </w:r>
      <w:r w:rsidR="00712434">
        <w:rPr>
          <w:rFonts w:ascii="Arial" w:eastAsia="仿宋_GB2312" w:hAnsi="Arial" w:cs="Arial" w:hint="eastAsia"/>
          <w:sz w:val="32"/>
          <w:szCs w:val="32"/>
        </w:rPr>
        <w:t>。</w:t>
      </w:r>
      <w:r w:rsidR="00712434">
        <w:rPr>
          <w:rFonts w:ascii="Arial" w:eastAsia="仿宋_GB2312" w:hAnsi="Arial" w:cs="Arial" w:hint="eastAsia"/>
          <w:sz w:val="32"/>
          <w:szCs w:val="32"/>
        </w:rPr>
        <w:t xml:space="preserve">  </w:t>
      </w:r>
    </w:p>
    <w:p w:rsidR="00D82355" w:rsidRDefault="00712434" w:rsidP="001E546D">
      <w:pPr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二、收入预算总体情况说明</w:t>
      </w:r>
    </w:p>
    <w:p w:rsidR="00D82355" w:rsidRDefault="00E51C8D"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2018年收入合计</w:t>
      </w:r>
      <w:r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万元，其中：一般公共预算收入</w:t>
      </w:r>
      <w:r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万元; 政府性基金预算收入</w:t>
      </w:r>
      <w:r>
        <w:rPr>
          <w:rFonts w:ascii="Arial" w:eastAsia="仿宋_GB2312" w:hAnsi="Arial" w:cs="Arial" w:hint="eastAsia"/>
          <w:sz w:val="32"/>
          <w:szCs w:val="32"/>
        </w:rPr>
        <w:t>0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万元；国有资本经营预算收入</w:t>
      </w:r>
      <w:r>
        <w:rPr>
          <w:rFonts w:ascii="Arial" w:eastAsia="仿宋_GB2312" w:hAnsi="Arial" w:cs="Arial" w:hint="eastAsia"/>
          <w:sz w:val="32"/>
          <w:szCs w:val="32"/>
        </w:rPr>
        <w:t>0</w:t>
      </w:r>
      <w:r w:rsidR="00712434">
        <w:rPr>
          <w:rFonts w:ascii="Arial" w:eastAsia="仿宋_GB2312" w:hAnsi="Arial" w:cs="Arial" w:hint="eastAsia"/>
          <w:sz w:val="32"/>
          <w:szCs w:val="32"/>
        </w:rPr>
        <w:t>万元；其他收入</w:t>
      </w:r>
      <w:r>
        <w:rPr>
          <w:rFonts w:ascii="Arial" w:eastAsia="仿宋_GB2312" w:hAnsi="Arial" w:cs="Arial" w:hint="eastAsia"/>
          <w:sz w:val="32"/>
          <w:szCs w:val="32"/>
        </w:rPr>
        <w:t>0</w:t>
      </w:r>
      <w:r w:rsidR="00712434">
        <w:rPr>
          <w:rFonts w:ascii="Arial" w:eastAsia="仿宋_GB2312" w:hAnsi="Arial" w:cs="Arial" w:hint="eastAsia"/>
          <w:sz w:val="32"/>
          <w:szCs w:val="32"/>
        </w:rPr>
        <w:t>万元；</w:t>
      </w:r>
      <w:r w:rsidR="00712434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 xml:space="preserve"> </w:t>
      </w:r>
    </w:p>
    <w:p w:rsidR="00D82355" w:rsidRDefault="00712434" w:rsidP="001E546D">
      <w:pPr>
        <w:spacing w:line="560" w:lineRule="exact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三、支出预算总体情况说明</w:t>
      </w:r>
    </w:p>
    <w:p w:rsidR="00D82355" w:rsidRDefault="00E51C8D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2018年支出合计</w:t>
      </w:r>
      <w:r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万元，其中：基本支出</w:t>
      </w:r>
      <w:r w:rsidR="000F5AD5">
        <w:rPr>
          <w:rFonts w:ascii="Arial" w:eastAsia="仿宋_GB2312" w:hAnsi="Arial" w:cs="Arial" w:hint="eastAsia"/>
          <w:sz w:val="32"/>
          <w:szCs w:val="32"/>
        </w:rPr>
        <w:t>800.46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0F5AD5">
        <w:rPr>
          <w:rFonts w:ascii="Arial" w:eastAsia="仿宋_GB2312" w:hAnsi="Arial" w:cs="Arial" w:hint="eastAsia"/>
          <w:sz w:val="32"/>
          <w:szCs w:val="32"/>
        </w:rPr>
        <w:t>86.96</w:t>
      </w:r>
      <w:r w:rsidR="00712434">
        <w:rPr>
          <w:rFonts w:ascii="Arial" w:eastAsia="仿宋_GB2312" w:hAnsi="Arial" w:cs="Arial" w:hint="eastAsia"/>
          <w:sz w:val="32"/>
          <w:szCs w:val="32"/>
        </w:rPr>
        <w:t>%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；项目支出</w:t>
      </w:r>
      <w:r w:rsidR="000F5AD5">
        <w:rPr>
          <w:rFonts w:ascii="Arial" w:eastAsia="仿宋_GB2312" w:hAnsi="Arial" w:cs="Arial" w:hint="eastAsia"/>
          <w:sz w:val="32"/>
          <w:szCs w:val="32"/>
        </w:rPr>
        <w:t>120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0F5AD5">
        <w:rPr>
          <w:rFonts w:ascii="Arial" w:eastAsia="仿宋_GB2312" w:hAnsi="Arial" w:cs="Arial" w:hint="eastAsia"/>
          <w:sz w:val="32"/>
          <w:szCs w:val="32"/>
        </w:rPr>
        <w:t>13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%。</w:t>
      </w:r>
      <w:r w:rsidR="00712434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 xml:space="preserve"> </w:t>
      </w:r>
    </w:p>
    <w:p w:rsidR="00D82355" w:rsidRDefault="00712434" w:rsidP="001E546D">
      <w:pPr>
        <w:spacing w:line="560" w:lineRule="exact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四、财政拨款收入支出预算总体情况说明</w:t>
      </w:r>
    </w:p>
    <w:p w:rsidR="00D82355" w:rsidRDefault="00E51C8D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2018年一般公共预算收支预算</w:t>
      </w:r>
      <w:r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万元。政府性基金收支预算</w:t>
      </w:r>
      <w:r>
        <w:rPr>
          <w:rFonts w:ascii="Arial" w:eastAsia="仿宋_GB2312" w:hAnsi="Arial" w:cs="Arial" w:hint="eastAsia"/>
          <w:sz w:val="32"/>
          <w:szCs w:val="32"/>
        </w:rPr>
        <w:t>0</w:t>
      </w:r>
      <w:r w:rsidR="00712434">
        <w:rPr>
          <w:rFonts w:ascii="Arial" w:eastAsia="仿宋_GB2312" w:hAnsi="Arial" w:cs="Arial" w:hint="eastAsia"/>
          <w:sz w:val="32"/>
          <w:szCs w:val="32"/>
        </w:rPr>
        <w:t>万元，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与 2017年相比，一般公共预算收支预算增加</w:t>
      </w:r>
      <w:r>
        <w:rPr>
          <w:rFonts w:ascii="Arial" w:eastAsia="仿宋_GB2312" w:hAnsi="Arial" w:cs="Arial" w:hint="eastAsia"/>
          <w:sz w:val="32"/>
          <w:szCs w:val="32"/>
        </w:rPr>
        <w:t>58.53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万元，增长</w:t>
      </w:r>
      <w:r w:rsidR="000F5AD5">
        <w:rPr>
          <w:rFonts w:ascii="Arial" w:eastAsia="仿宋_GB2312" w:hAnsi="Arial" w:cs="Arial" w:hint="eastAsia"/>
          <w:sz w:val="32"/>
          <w:szCs w:val="32"/>
        </w:rPr>
        <w:t>6.79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%，主要原因：</w:t>
      </w:r>
      <w:r w:rsidR="000F5AD5">
        <w:rPr>
          <w:rFonts w:ascii="仿宋_GB2312" w:eastAsia="仿宋_GB2312" w:hAnsi="仿宋_GB2312" w:cs="仿宋_GB2312" w:hint="eastAsia"/>
          <w:sz w:val="32"/>
          <w:szCs w:val="32"/>
        </w:rPr>
        <w:t>增加</w:t>
      </w:r>
      <w:r w:rsidR="000F5AD5">
        <w:rPr>
          <w:rFonts w:ascii="Arial" w:eastAsia="仿宋_GB2312" w:hAnsi="Arial" w:cs="Arial" w:hint="eastAsia"/>
          <w:sz w:val="32"/>
          <w:szCs w:val="32"/>
        </w:rPr>
        <w:t>在职人员月考核奖支出</w:t>
      </w:r>
      <w:r w:rsidR="00712434">
        <w:rPr>
          <w:rFonts w:ascii="Arial" w:eastAsia="仿宋_GB2312" w:hAnsi="Arial" w:cs="Arial" w:hint="eastAsia"/>
          <w:sz w:val="32"/>
          <w:szCs w:val="32"/>
        </w:rPr>
        <w:t>；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政府性基金收支增加</w:t>
      </w:r>
      <w:r w:rsidR="000F5AD5">
        <w:rPr>
          <w:rFonts w:ascii="Arial" w:eastAsia="仿宋_GB2312" w:hAnsi="Arial" w:cs="Arial" w:hint="eastAsia"/>
          <w:sz w:val="32"/>
          <w:szCs w:val="32"/>
        </w:rPr>
        <w:t>0</w:t>
      </w:r>
      <w:r w:rsidR="00712434">
        <w:rPr>
          <w:rFonts w:ascii="Arial" w:eastAsia="仿宋_GB2312" w:hAnsi="Arial" w:cs="Arial" w:hint="eastAsia"/>
          <w:sz w:val="32"/>
          <w:szCs w:val="32"/>
        </w:rPr>
        <w:t>万元，增长</w:t>
      </w:r>
      <w:r w:rsidR="000F5AD5">
        <w:rPr>
          <w:rFonts w:ascii="Arial" w:eastAsia="仿宋_GB2312" w:hAnsi="Arial" w:cs="Arial" w:hint="eastAsia"/>
          <w:sz w:val="32"/>
          <w:szCs w:val="32"/>
        </w:rPr>
        <w:t>0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712434">
        <w:rPr>
          <w:rFonts w:ascii="Arial" w:eastAsia="仿宋_GB2312" w:hAnsi="Arial" w:cs="Arial" w:hint="eastAsia"/>
          <w:sz w:val="32"/>
          <w:szCs w:val="32"/>
        </w:rPr>
        <w:t>，</w:t>
      </w:r>
      <w:r w:rsidR="000F5AD5">
        <w:rPr>
          <w:rFonts w:ascii="仿宋_GB2312" w:eastAsia="仿宋_GB2312" w:hAnsi="仿宋_GB2312" w:cs="仿宋_GB2312" w:hint="eastAsia"/>
          <w:sz w:val="32"/>
          <w:szCs w:val="32"/>
        </w:rPr>
        <w:t>本单位没有政府性基金收支</w:t>
      </w:r>
      <w:r w:rsidR="00712434">
        <w:rPr>
          <w:rFonts w:ascii="Arial" w:eastAsia="仿宋_GB2312" w:hAnsi="Arial" w:cs="Arial" w:hint="eastAsia"/>
          <w:sz w:val="32"/>
          <w:szCs w:val="32"/>
        </w:rPr>
        <w:t>。</w:t>
      </w:r>
    </w:p>
    <w:p w:rsidR="00D82355" w:rsidRDefault="00712434" w:rsidP="001E546D">
      <w:pPr>
        <w:spacing w:line="560" w:lineRule="exact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五、一般公共预算支出预算情况说明</w:t>
      </w:r>
    </w:p>
    <w:p w:rsidR="00D82355" w:rsidRPr="00BE56AD" w:rsidRDefault="000F5AD5">
      <w:pPr>
        <w:widowControl/>
        <w:ind w:firstLine="622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2018年一般公共预算支出年初预算为</w:t>
      </w:r>
      <w:r w:rsidR="008746C4">
        <w:rPr>
          <w:rFonts w:ascii="Arial" w:eastAsia="仿宋_GB2312" w:hAnsi="Arial" w:cs="Arial" w:hint="eastAsia"/>
          <w:sz w:val="32"/>
          <w:szCs w:val="32"/>
        </w:rPr>
        <w:t>920.46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万元。主要用于以下方面：</w:t>
      </w:r>
      <w:r w:rsidR="00BE56AD">
        <w:rPr>
          <w:rFonts w:ascii="仿宋_GB2312" w:eastAsia="仿宋_GB2312" w:hAnsi="仿宋_GB2312" w:cs="仿宋_GB2312" w:hint="eastAsia"/>
          <w:sz w:val="32"/>
          <w:szCs w:val="32"/>
        </w:rPr>
        <w:t>一般公共预算支出371.19万元，占40.33%；社会保障和就业161.17万元，占17.5%；医疗卫生和计划生育9.5万元，占1.03%；城乡社区支出361.07万元，占39.23%；住房保障17.53万元，占1.9</w:t>
      </w:r>
      <w:r w:rsidR="009E27E4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BE56AD">
        <w:rPr>
          <w:rFonts w:ascii="仿宋_GB2312" w:eastAsia="仿宋_GB2312" w:hAnsi="仿宋_GB2312" w:cs="仿宋_GB2312" w:hint="eastAsia"/>
          <w:sz w:val="32"/>
          <w:szCs w:val="32"/>
        </w:rPr>
        <w:t>%。</w:t>
      </w:r>
    </w:p>
    <w:p w:rsidR="00D82355" w:rsidRDefault="00712434" w:rsidP="001E546D">
      <w:pPr>
        <w:spacing w:line="560" w:lineRule="exact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六、一般公共预算基本支出预算情况说明</w:t>
      </w:r>
    </w:p>
    <w:p w:rsidR="00D82355" w:rsidRDefault="000F5AD5">
      <w:pPr>
        <w:widowControl/>
        <w:ind w:firstLine="622"/>
        <w:jc w:val="left"/>
        <w:rPr>
          <w:rFonts w:ascii="仿宋_GB2312" w:eastAsia="仿宋_GB2312" w:hAnsi="仿宋_GB2312" w:cs="仿宋_GB2312"/>
          <w:color w:val="FF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2018年一般公共预算基本支出</w:t>
      </w:r>
      <w:r w:rsidR="0085067E">
        <w:rPr>
          <w:rFonts w:ascii="仿宋_GB2312" w:eastAsia="仿宋_GB2312" w:hAnsi="仿宋_GB2312" w:cs="仿宋_GB2312" w:hint="eastAsia"/>
          <w:kern w:val="0"/>
          <w:sz w:val="32"/>
          <w:szCs w:val="32"/>
        </w:rPr>
        <w:t>800.46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  <w:r w:rsidR="00712434">
        <w:rPr>
          <w:rFonts w:ascii="仿宋_GB2312" w:eastAsia="仿宋_GB2312" w:hAnsi="仿宋_GB2312" w:cs="仿宋_GB2312" w:hint="eastAsia"/>
          <w:b/>
          <w:spacing w:val="-1"/>
          <w:kern w:val="0"/>
          <w:sz w:val="32"/>
          <w:szCs w:val="32"/>
        </w:rPr>
        <w:t>人员经费</w:t>
      </w: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759.57</w:t>
      </w:r>
      <w:r w:rsidR="00712434">
        <w:rPr>
          <w:rFonts w:ascii="仿宋_GB2312" w:eastAsia="仿宋_GB2312" w:hAnsi="仿宋_GB2312" w:cs="仿宋_GB2312" w:hint="eastAsia"/>
          <w:b/>
          <w:sz w:val="32"/>
          <w:szCs w:val="32"/>
        </w:rPr>
        <w:t>万元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712434">
        <w:rPr>
          <w:rFonts w:ascii="仿宋_GB2312" w:eastAsia="仿宋_GB2312" w:hAnsi="仿宋_GB2312" w:cs="仿宋_GB2312" w:hint="eastAsia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基本工资、津贴补贴、奖金、绩效工资、机关事业单位基本养老保险缴费、职业年金缴费、医疗保险缴费、其他社会保障缴费、住房公积金、其他工资福利支出、离休费、退休费、其他对个人和家庭的补助支出；</w:t>
      </w: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公用经费40.89</w:t>
      </w:r>
      <w:r w:rsidR="00712434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万元</w:t>
      </w:r>
      <w:r w:rsidR="00B93DC6">
        <w:rPr>
          <w:rFonts w:ascii="仿宋_GB2312" w:eastAsia="仿宋_GB2312" w:hAnsi="仿宋_GB2312" w:cs="仿宋_GB2312" w:hint="eastAsia"/>
          <w:kern w:val="0"/>
          <w:sz w:val="32"/>
          <w:szCs w:val="32"/>
        </w:rPr>
        <w:t>，主要包括：办公费、水费、电费、邮电费、培训费、取暖费、差旅费</w:t>
      </w:r>
      <w:r w:rsidR="00270D59">
        <w:rPr>
          <w:rFonts w:ascii="仿宋_GB2312" w:eastAsia="仿宋_GB2312" w:hAnsi="仿宋_GB2312" w:cs="仿宋_GB2312" w:hint="eastAsia"/>
          <w:kern w:val="0"/>
          <w:sz w:val="32"/>
          <w:szCs w:val="32"/>
        </w:rPr>
        <w:t>、会议费、公务接待费、</w:t>
      </w:r>
      <w:r w:rsidR="00712434">
        <w:rPr>
          <w:rFonts w:ascii="仿宋_GB2312" w:eastAsia="仿宋_GB2312" w:hAnsi="仿宋_GB2312" w:cs="仿宋_GB2312" w:hint="eastAsia"/>
          <w:kern w:val="0"/>
          <w:sz w:val="32"/>
          <w:szCs w:val="32"/>
        </w:rPr>
        <w:t>公务</w:t>
      </w:r>
      <w:r w:rsidR="00B93DC6">
        <w:rPr>
          <w:rFonts w:ascii="仿宋_GB2312" w:eastAsia="仿宋_GB2312" w:hAnsi="仿宋_GB2312" w:cs="仿宋_GB2312" w:hint="eastAsia"/>
          <w:kern w:val="0"/>
          <w:sz w:val="32"/>
          <w:szCs w:val="32"/>
        </w:rPr>
        <w:t>用车运行维护费。</w:t>
      </w:r>
    </w:p>
    <w:p w:rsidR="00D82355" w:rsidRDefault="00712434" w:rsidP="001E546D">
      <w:pPr>
        <w:spacing w:line="560" w:lineRule="exact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七、政府性基金预算支出预算情况说明</w:t>
      </w:r>
    </w:p>
    <w:p w:rsidR="00D82355" w:rsidRDefault="00712434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2018</w:t>
      </w:r>
      <w:r w:rsidR="008B3AFF">
        <w:rPr>
          <w:rFonts w:ascii="仿宋_GB2312" w:eastAsia="仿宋_GB2312" w:hAnsi="仿宋_GB2312" w:cs="仿宋_GB2312" w:hint="eastAsia"/>
          <w:kern w:val="0"/>
          <w:sz w:val="32"/>
          <w:szCs w:val="32"/>
        </w:rPr>
        <w:t>年政府性基金预算支出0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b/>
          <w:color w:val="FF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D82355" w:rsidRPr="001801C0" w:rsidRDefault="00712434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 w:rsidRPr="001801C0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我单位2018年没有使用政府性基金预算拨款安排的支出。</w:t>
      </w:r>
    </w:p>
    <w:p w:rsidR="00D82355" w:rsidRDefault="00712434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国有资本经营预算支出预算情况说明</w:t>
      </w:r>
    </w:p>
    <w:p w:rsidR="00D82355" w:rsidRDefault="00712434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2018</w:t>
      </w:r>
      <w:r w:rsidR="008B3AFF">
        <w:rPr>
          <w:rFonts w:ascii="仿宋_GB2312" w:eastAsia="仿宋_GB2312" w:hAnsi="仿宋_GB2312" w:cs="仿宋_GB2312" w:hint="eastAsia"/>
          <w:kern w:val="0"/>
          <w:sz w:val="32"/>
          <w:szCs w:val="32"/>
        </w:rPr>
        <w:t>年国有资金经营预算支出0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b/>
          <w:color w:val="FF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D82355" w:rsidRPr="001801C0" w:rsidRDefault="00712434" w:rsidP="001E546D">
      <w:pPr>
        <w:spacing w:line="560" w:lineRule="exact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 w:rsidRPr="001801C0">
        <w:rPr>
          <w:rFonts w:ascii="仿宋_GB2312" w:eastAsia="仿宋_GB2312" w:hAnsi="仿宋_GB2312" w:cs="仿宋_GB2312" w:hint="eastAsia"/>
          <w:sz w:val="32"/>
          <w:szCs w:val="32"/>
        </w:rPr>
        <w:t>我单位2018</w:t>
      </w:r>
      <w:r w:rsidR="001801C0">
        <w:rPr>
          <w:rFonts w:ascii="仿宋_GB2312" w:eastAsia="仿宋_GB2312" w:hAnsi="仿宋_GB2312" w:cs="仿宋_GB2312" w:hint="eastAsia"/>
          <w:sz w:val="32"/>
          <w:szCs w:val="32"/>
        </w:rPr>
        <w:t>年没有使用</w:t>
      </w:r>
      <w:r w:rsidR="001801C0" w:rsidRPr="001801C0">
        <w:rPr>
          <w:rFonts w:ascii="仿宋_GB2312" w:eastAsia="仿宋_GB2312" w:hAnsi="仿宋_GB2312" w:cs="仿宋_GB2312" w:hint="eastAsia"/>
          <w:sz w:val="32"/>
          <w:szCs w:val="32"/>
        </w:rPr>
        <w:t>国有资本经营预算拨款安排的支出。</w:t>
      </w:r>
    </w:p>
    <w:p w:rsidR="00D82355" w:rsidRDefault="00712434" w:rsidP="001E546D">
      <w:pPr>
        <w:spacing w:line="560" w:lineRule="exact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九、“三公”经费支出预算情况说明</w:t>
      </w:r>
    </w:p>
    <w:p w:rsidR="00D82355" w:rsidRDefault="001801C0" w:rsidP="001E546D">
      <w:pPr>
        <w:widowControl/>
        <w:ind w:firstLineChars="200" w:firstLine="622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 年“三公”经费预算为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10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万元。 比 2017</w:t>
      </w:r>
      <w:r w:rsidR="00E517A0">
        <w:rPr>
          <w:rFonts w:ascii="仿宋_GB2312" w:eastAsia="仿宋_GB2312" w:hAnsi="仿宋_GB2312" w:cs="仿宋_GB2312" w:hint="eastAsia"/>
          <w:sz w:val="32"/>
          <w:szCs w:val="32"/>
        </w:rPr>
        <w:t>年预算数减少0.44万元，下降4.2</w:t>
      </w:r>
      <w:r w:rsidR="00712434">
        <w:rPr>
          <w:rFonts w:ascii="仿宋_GB2312" w:eastAsia="仿宋_GB2312" w:hAnsi="仿宋_GB2312" w:cs="仿宋_GB2312" w:hint="eastAsia"/>
          <w:kern w:val="0"/>
          <w:sz w:val="32"/>
          <w:szCs w:val="32"/>
        </w:rPr>
        <w:t>%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具体支出情况如下：</w:t>
      </w:r>
    </w:p>
    <w:p w:rsidR="00D82355" w:rsidRDefault="00712434" w:rsidP="001E546D"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pacing w:val="-1"/>
          <w:kern w:val="0"/>
          <w:sz w:val="32"/>
          <w:szCs w:val="32"/>
        </w:rPr>
        <w:t>因公出国（境）费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8B3AFF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 w:rsidR="008B3AFF">
        <w:rPr>
          <w:rFonts w:ascii="仿宋_GB2312" w:eastAsia="仿宋_GB2312" w:hAnsi="仿宋_GB2312" w:cs="仿宋_GB2312" w:hint="eastAsia"/>
          <w:sz w:val="32"/>
          <w:szCs w:val="32"/>
        </w:rPr>
        <w:t>万元。</w:t>
      </w:r>
      <w:r>
        <w:rPr>
          <w:rFonts w:ascii="仿宋_GB2312" w:eastAsia="仿宋_GB2312" w:hAnsi="仿宋_GB2312" w:cs="仿宋_GB2312" w:hint="eastAsia"/>
          <w:sz w:val="32"/>
          <w:szCs w:val="32"/>
        </w:rPr>
        <w:t>。预算数比2017年减少（增加）</w:t>
      </w:r>
      <w:r w:rsidR="008B3AFF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万元，下降（增长）</w:t>
      </w:r>
      <w:r w:rsidR="008B3AFF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%</w:t>
      </w:r>
      <w:r w:rsidR="008B3AFF">
        <w:rPr>
          <w:rFonts w:ascii="仿宋_GB2312" w:eastAsia="仿宋_GB2312" w:hAnsi="仿宋_GB2312" w:cs="仿宋_GB2312" w:hint="eastAsia"/>
          <w:kern w:val="0"/>
          <w:sz w:val="32"/>
          <w:szCs w:val="32"/>
        </w:rPr>
        <w:t>，我单位2018年没有安排出国公务活动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82355" w:rsidRDefault="00712434" w:rsidP="001E546D"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pacing w:val="-1"/>
          <w:kern w:val="0"/>
          <w:sz w:val="32"/>
          <w:szCs w:val="32"/>
        </w:rPr>
        <w:t>公务用车购置及运行费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8.6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元。其中公务车辆购置费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万元，主要用于,比2017年减少（增减）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0万元，较上年下降（增长）0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%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，主要原因：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公务用车运行维护费 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8.6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，主要用于</w:t>
      </w:r>
      <w:r w:rsidR="00E517A0">
        <w:rPr>
          <w:rFonts w:ascii="仿宋_GB2312" w:eastAsia="仿宋_GB2312" w:hAnsi="仿宋_GB2312" w:cs="仿宋_GB2312" w:hint="eastAsia"/>
          <w:kern w:val="0"/>
          <w:sz w:val="32"/>
          <w:szCs w:val="32"/>
        </w:rPr>
        <w:t>公务车的加油、维修、保险等支出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,比2017</w:t>
      </w:r>
      <w:r w:rsidR="00C2002B">
        <w:rPr>
          <w:rFonts w:ascii="仿宋_GB2312" w:eastAsia="仿宋_GB2312" w:hAnsi="仿宋_GB2312" w:cs="仿宋_GB2312" w:hint="eastAsia"/>
          <w:sz w:val="32"/>
          <w:szCs w:val="32"/>
        </w:rPr>
        <w:t>年减少0.9</w:t>
      </w:r>
      <w:r w:rsidR="00C2002B"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万元，较上年下降9.47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%</w:t>
      </w:r>
      <w:r w:rsidR="00C2002B">
        <w:rPr>
          <w:rFonts w:ascii="仿宋_GB2312" w:eastAsia="仿宋_GB2312" w:hAnsi="仿宋_GB2312" w:cs="仿宋_GB2312" w:hint="eastAsia"/>
          <w:kern w:val="0"/>
          <w:sz w:val="32"/>
          <w:szCs w:val="32"/>
        </w:rPr>
        <w:t>，主要原因：压缩预算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D82355" w:rsidRDefault="00712434" w:rsidP="001E546D">
      <w:pPr>
        <w:spacing w:line="560" w:lineRule="exact"/>
        <w:ind w:firstLineChars="200" w:firstLine="621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pacing w:val="-1"/>
          <w:kern w:val="0"/>
          <w:sz w:val="32"/>
          <w:szCs w:val="32"/>
        </w:rPr>
        <w:t>（三）公务接待费</w:t>
      </w:r>
      <w:r w:rsidR="00C2002B">
        <w:rPr>
          <w:rFonts w:ascii="仿宋_GB2312" w:eastAsia="仿宋_GB2312" w:hAnsi="仿宋_GB2312" w:cs="仿宋_GB2312" w:hint="eastAsia"/>
          <w:kern w:val="0"/>
          <w:sz w:val="32"/>
          <w:szCs w:val="32"/>
        </w:rPr>
        <w:t>1.4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</w:t>
      </w:r>
      <w:r w:rsidR="00C2002B">
        <w:rPr>
          <w:rFonts w:ascii="仿宋_GB2312" w:eastAsia="仿宋_GB2312" w:hAnsi="仿宋_GB2312" w:cs="仿宋_GB2312" w:hint="eastAsia"/>
          <w:kern w:val="0"/>
          <w:sz w:val="32"/>
          <w:szCs w:val="32"/>
        </w:rPr>
        <w:t>来人接待餐费、单位加班用餐支出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，比2017</w:t>
      </w:r>
      <w:r w:rsidR="00C2002B">
        <w:rPr>
          <w:rFonts w:ascii="仿宋_GB2312" w:eastAsia="仿宋_GB2312" w:hAnsi="仿宋_GB2312" w:cs="仿宋_GB2312" w:hint="eastAsia"/>
          <w:kern w:val="0"/>
          <w:sz w:val="32"/>
          <w:szCs w:val="32"/>
        </w:rPr>
        <w:t>年预算数增加0.46万元，增长48.9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%</w:t>
      </w:r>
      <w:r w:rsidR="00C2002B">
        <w:rPr>
          <w:rFonts w:ascii="仿宋_GB2312" w:eastAsia="仿宋_GB2312" w:hAnsi="仿宋_GB2312" w:cs="仿宋_GB2312" w:hint="eastAsia"/>
          <w:kern w:val="0"/>
          <w:sz w:val="32"/>
          <w:szCs w:val="32"/>
        </w:rPr>
        <w:t>，主要原因消费增长和加班次数增加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"/>
          <w:kern w:val="0"/>
          <w:sz w:val="32"/>
          <w:szCs w:val="32"/>
        </w:rPr>
        <w:t>十、其他重要事项的情况说明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5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（一）机关运行经费支出情况</w:t>
      </w:r>
    </w:p>
    <w:p w:rsidR="00D82355" w:rsidRDefault="00BB6D79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宁郭镇人民政府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2018年机关运行经费支出预算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40.89</w:t>
      </w:r>
      <w:r w:rsidR="00712434">
        <w:rPr>
          <w:rFonts w:ascii="仿宋_GB2312" w:eastAsia="仿宋_GB2312" w:hAnsi="仿宋_GB2312" w:cs="仿宋_GB2312" w:hint="eastAsia"/>
          <w:sz w:val="32"/>
          <w:szCs w:val="32"/>
        </w:rPr>
        <w:t>万元，主要保障机关机构正常运转及正常履职需要的办公费、水电费、物业费、维修费、差旅费等支出，比2017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年减少9.36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万元，下降18.6%</w:t>
      </w:r>
      <w:r w:rsidR="00CC5DE4">
        <w:rPr>
          <w:rFonts w:ascii="仿宋_GB2312" w:eastAsia="仿宋_GB2312" w:hAnsi="仿宋_GB2312" w:cs="仿宋_GB2312" w:hint="eastAsia"/>
          <w:kern w:val="0"/>
          <w:sz w:val="32"/>
          <w:szCs w:val="32"/>
        </w:rPr>
        <w:t>，主要原因：预算压缩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5"/>
        <w:outlineLvl w:val="0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（二）政府采购支出情况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2018年政府采购预算安排</w:t>
      </w:r>
      <w:r w:rsidR="00320E7A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  <w:r w:rsidR="00320E7A">
        <w:rPr>
          <w:rFonts w:ascii="仿宋_GB2312" w:eastAsia="仿宋_GB2312" w:hAnsi="仿宋_GB2312" w:cs="仿宋_GB2312" w:hint="eastAsia"/>
          <w:kern w:val="0"/>
          <w:sz w:val="32"/>
          <w:szCs w:val="32"/>
        </w:rPr>
        <w:t>政府采购货物预算0万元、政府采购工程预算0万元、政府采购服务预算0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5"/>
        <w:outlineLvl w:val="0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（三）关于预算绩效管理工作开展情况说明</w:t>
      </w:r>
    </w:p>
    <w:p w:rsidR="00FD0694" w:rsidRDefault="00FD0694" w:rsidP="00FD0694">
      <w:pPr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2017年,我部门对两个项目进行了预算绩效评价，涉及资金80万元。</w:t>
      </w:r>
      <w:r>
        <w:rPr>
          <w:rFonts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2018年，我部门纳入预算绩效管理的支出总额为920.46万元，支出项目共两个，支出总额120万元，其中预算支出100万元及100万元以上项目无，支出总额无。 </w:t>
      </w:r>
    </w:p>
    <w:p w:rsidR="00D82355" w:rsidRDefault="00712434" w:rsidP="001E546D">
      <w:pPr>
        <w:ind w:leftChars="200" w:left="402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（四）国有资产占用情况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2017年期末，</w:t>
      </w:r>
      <w:r w:rsidR="00CC5DE4">
        <w:rPr>
          <w:rFonts w:ascii="仿宋_GB2312" w:eastAsia="仿宋_GB2312" w:hAnsi="仿宋_GB2312" w:cs="仿宋_GB2312" w:hint="eastAsia"/>
          <w:kern w:val="0"/>
          <w:sz w:val="32"/>
          <w:szCs w:val="32"/>
        </w:rPr>
        <w:t>宁郭镇人民政府</w:t>
      </w:r>
      <w:r w:rsidR="001801C0">
        <w:rPr>
          <w:rFonts w:ascii="仿宋_GB2312" w:eastAsia="仿宋_GB2312" w:hAnsi="仿宋_GB2312" w:cs="仿宋_GB2312" w:hint="eastAsia"/>
          <w:kern w:val="0"/>
          <w:sz w:val="32"/>
          <w:szCs w:val="32"/>
        </w:rPr>
        <w:t>固定资产总额337.4万元，其中，房屋建筑物171万元，车辆37.3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万元。</w:t>
      </w:r>
      <w:r w:rsidR="001E15A3">
        <w:rPr>
          <w:rFonts w:ascii="仿宋_GB2312" w:eastAsia="仿宋_GB2312" w:hAnsi="仿宋_GB2312" w:cs="仿宋_GB2312" w:hint="eastAsia"/>
          <w:kern w:val="0"/>
          <w:sz w:val="32"/>
          <w:szCs w:val="32"/>
        </w:rPr>
        <w:t>共有车辆4辆，其中：一般公务用车2</w:t>
      </w:r>
      <w:r w:rsidR="00647A41">
        <w:rPr>
          <w:rFonts w:ascii="仿宋_GB2312" w:eastAsia="仿宋_GB2312" w:hAnsi="仿宋_GB2312" w:cs="仿宋_GB2312" w:hint="eastAsia"/>
          <w:kern w:val="0"/>
          <w:sz w:val="32"/>
          <w:szCs w:val="32"/>
        </w:rPr>
        <w:t>辆，其他用车2辆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sz w:val="32"/>
          <w:szCs w:val="32"/>
        </w:rPr>
        <w:t>单价50万元以上通用设备</w:t>
      </w:r>
      <w:r w:rsidR="001E15A3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台（套），单位价值100万元以上专用设备</w:t>
      </w:r>
      <w:r w:rsidR="001E15A3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台（套）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  <w:bookmarkStart w:id="0" w:name="_GoBack"/>
      <w:bookmarkEnd w:id="0"/>
    </w:p>
    <w:p w:rsidR="00D82355" w:rsidRDefault="00712434" w:rsidP="001E546D">
      <w:pPr>
        <w:widowControl/>
        <w:ind w:firstLineChars="200" w:firstLine="625"/>
        <w:jc w:val="left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（五）关于预算部门构成说明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2018年我单位按</w:t>
      </w:r>
      <w:r w:rsidR="00D60D7D">
        <w:rPr>
          <w:rFonts w:ascii="仿宋_GB2312" w:eastAsia="仿宋_GB2312" w:hAnsi="仿宋_GB2312" w:cs="仿宋_GB2312" w:hint="eastAsia"/>
          <w:sz w:val="32"/>
          <w:szCs w:val="32"/>
        </w:rPr>
        <w:t>照市财政预算公开要求，将所属预算单位全部纳入预算公开范围。</w:t>
      </w:r>
    </w:p>
    <w:p w:rsidR="00D82355" w:rsidRDefault="00D82355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5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</w:p>
    <w:p w:rsidR="00D82355" w:rsidRDefault="00712434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第三部分 名词解释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一、财政拨款收入：是指市级财政当年拨付的资金。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二、事业收入：是指事业单位开展专业活动及辅助活动所取 得的收入。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五、项目支出：是指在基本支出之外，为完成特定的行政工作任务或事业发展目标所发生的支出。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Courier New" w:hint="eastAsia"/>
          <w:sz w:val="32"/>
          <w:szCs w:val="32"/>
        </w:rPr>
        <w:t>七、机关运行经费：是指为保障行政</w:t>
      </w:r>
      <w:r>
        <w:rPr>
          <w:rFonts w:ascii="仿宋_GB2312" w:eastAsia="仿宋_GB2312" w:hAnsi="仿宋_GB2312" w:cs="仿宋_GB2312" w:hint="eastAsia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ascii="仿宋_GB2312" w:eastAsia="仿宋_GB2312" w:hAnsi="宋体" w:cs="Courier New" w:hint="eastAsia"/>
          <w:sz w:val="32"/>
          <w:szCs w:val="32"/>
        </w:rPr>
        <w:t>公务用车运行维护费以及其他费用</w:t>
      </w:r>
      <w:r>
        <w:rPr>
          <w:rFonts w:ascii="仿宋_GB2312" w:eastAsia="仿宋_GB2312" w:hAnsi="仿宋_GB2312" w:cs="仿宋_GB2312" w:hint="eastAsia"/>
          <w:sz w:val="32"/>
          <w:szCs w:val="32"/>
        </w:rPr>
        <w:t>等支出。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八、其他（专业性较强的需向社会做出说明的名词）</w:t>
      </w:r>
    </w:p>
    <w:p w:rsidR="00D82355" w:rsidRDefault="00712434" w:rsidP="001E546D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  </w:t>
      </w:r>
    </w:p>
    <w:p w:rsidR="00D82355" w:rsidRDefault="00712434" w:rsidP="001E546D">
      <w:pPr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 w:rsidR="00647A41">
        <w:rPr>
          <w:rFonts w:ascii="仿宋_GB2312" w:eastAsia="仿宋_GB2312" w:hAnsi="仿宋_GB2312" w:cs="仿宋_GB2312" w:hint="eastAsia"/>
          <w:sz w:val="32"/>
          <w:szCs w:val="32"/>
        </w:rPr>
        <w:t>宁郭镇人民政府</w:t>
      </w:r>
      <w:r>
        <w:rPr>
          <w:rFonts w:ascii="仿宋_GB2312" w:eastAsia="仿宋_GB2312" w:hAnsi="仿宋_GB2312" w:cs="仿宋_GB2312" w:hint="eastAsia"/>
          <w:sz w:val="32"/>
          <w:szCs w:val="32"/>
        </w:rPr>
        <w:t>2018年度部门预算表</w:t>
      </w:r>
    </w:p>
    <w:p w:rsidR="00D82355" w:rsidRDefault="00D82355" w:rsidP="001E546D">
      <w:pPr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  <w:sz w:val="32"/>
          <w:szCs w:val="32"/>
        </w:rPr>
      </w:pPr>
    </w:p>
    <w:p w:rsidR="00D82355" w:rsidRDefault="00712434" w:rsidP="00D82355">
      <w:pPr>
        <w:adjustRightInd w:val="0"/>
        <w:snapToGrid w:val="0"/>
        <w:spacing w:line="360" w:lineRule="auto"/>
        <w:ind w:firstLineChars="200" w:firstLine="622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2018年8月6日</w:t>
      </w:r>
    </w:p>
    <w:sectPr w:rsidR="00D82355">
      <w:pgSz w:w="11906" w:h="16838"/>
      <w:pgMar w:top="2154" w:right="1474" w:bottom="1757" w:left="1587" w:header="851" w:footer="992" w:gutter="0"/>
      <w:cols w:space="0"/>
      <w:docGrid w:type="linesAndChars" w:linePitch="312" w:charSpace="-18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EC8" w:rsidRDefault="00A66EC8">
      <w:r>
        <w:separator/>
      </w:r>
    </w:p>
  </w:endnote>
  <w:endnote w:type="continuationSeparator" w:id="0">
    <w:p w:rsidR="00A66EC8" w:rsidRDefault="00A6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FB6" w:rsidRDefault="00A66EC8">
    <w:pPr>
      <w:pStyle w:val="a4"/>
    </w:pPr>
    <w:r>
      <w:rPr>
        <w:rFonts w:cs="Calibri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filled="f" stroked="f" strokeweight=".5pt">
          <v:textbox style="mso-fit-shape-to-text:t" inset="0,0,0,0">
            <w:txbxContent>
              <w:p w:rsidR="003A1FB6" w:rsidRDefault="00712434">
                <w:pPr>
                  <w:snapToGrid w:val="0"/>
                  <w:rPr>
                    <w:sz w:val="18"/>
                    <w:szCs w:val="18"/>
                  </w:rPr>
                </w:pPr>
                <w:r>
                  <w:rPr>
                    <w:szCs w:val="21"/>
                  </w:rPr>
                  <w:fldChar w:fldCharType="begin"/>
                </w:r>
                <w:r>
                  <w:instrText xml:space="preserve"> PAGE  \* MERGEFORMAT </w:instrText>
                </w:r>
                <w:r>
                  <w:rPr>
                    <w:szCs w:val="21"/>
                  </w:rPr>
                  <w:fldChar w:fldCharType="separate"/>
                </w:r>
                <w:r w:rsidR="00FD0694" w:rsidRPr="00FD0694">
                  <w:rPr>
                    <w:noProof/>
                    <w:sz w:val="18"/>
                    <w:szCs w:val="18"/>
                  </w:rPr>
                  <w:t>9</w:t>
                </w:r>
                <w:r>
                  <w:rPr>
                    <w:noProof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EC8" w:rsidRDefault="00A66EC8">
      <w:r>
        <w:separator/>
      </w:r>
    </w:p>
  </w:footnote>
  <w:footnote w:type="continuationSeparator" w:id="0">
    <w:p w:rsidR="00A66EC8" w:rsidRDefault="00A66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324"/>
    <w:multiLevelType w:val="hybridMultilevel"/>
    <w:tmpl w:val="9EE4FB50"/>
    <w:lvl w:ilvl="0" w:tplc="7592F870">
      <w:start w:val="1"/>
      <w:numFmt w:val="japaneseCounting"/>
      <w:lvlText w:val="（%1）"/>
      <w:lvlJc w:val="left"/>
      <w:pPr>
        <w:ind w:left="170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1">
    <w:nsid w:val="5A4F2DAA"/>
    <w:multiLevelType w:val="singleLevel"/>
    <w:tmpl w:val="5A4F2DAA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5A796DEC"/>
    <w:multiLevelType w:val="singleLevel"/>
    <w:tmpl w:val="5A796DEC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7"/>
  <w:displayHorizont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D26A9"/>
    <w:rsid w:val="000F5AD5"/>
    <w:rsid w:val="001801C0"/>
    <w:rsid w:val="001E15A3"/>
    <w:rsid w:val="001E546D"/>
    <w:rsid w:val="00270D59"/>
    <w:rsid w:val="002F0142"/>
    <w:rsid w:val="00311B15"/>
    <w:rsid w:val="0031444E"/>
    <w:rsid w:val="00320E7A"/>
    <w:rsid w:val="004709AF"/>
    <w:rsid w:val="0048539F"/>
    <w:rsid w:val="005B10E6"/>
    <w:rsid w:val="00647A41"/>
    <w:rsid w:val="00657B15"/>
    <w:rsid w:val="00712434"/>
    <w:rsid w:val="0085067E"/>
    <w:rsid w:val="008746C4"/>
    <w:rsid w:val="008B3AFF"/>
    <w:rsid w:val="008F36FA"/>
    <w:rsid w:val="00921745"/>
    <w:rsid w:val="009B7BE6"/>
    <w:rsid w:val="009E27E4"/>
    <w:rsid w:val="00A257D3"/>
    <w:rsid w:val="00A66EC8"/>
    <w:rsid w:val="00B93DC6"/>
    <w:rsid w:val="00BB6D79"/>
    <w:rsid w:val="00BE56AD"/>
    <w:rsid w:val="00C2002B"/>
    <w:rsid w:val="00C62DDD"/>
    <w:rsid w:val="00C72A53"/>
    <w:rsid w:val="00CC5DE4"/>
    <w:rsid w:val="00D43CB1"/>
    <w:rsid w:val="00D60D7D"/>
    <w:rsid w:val="00D82355"/>
    <w:rsid w:val="00E042F3"/>
    <w:rsid w:val="00E517A0"/>
    <w:rsid w:val="00E51C8D"/>
    <w:rsid w:val="00E75888"/>
    <w:rsid w:val="00EF7F5E"/>
    <w:rsid w:val="00FD0694"/>
    <w:rsid w:val="07B27637"/>
    <w:rsid w:val="0BFC12C2"/>
    <w:rsid w:val="1272042A"/>
    <w:rsid w:val="14E074A9"/>
    <w:rsid w:val="170A3FC4"/>
    <w:rsid w:val="17591265"/>
    <w:rsid w:val="20770ABE"/>
    <w:rsid w:val="20DD26A9"/>
    <w:rsid w:val="262C0377"/>
    <w:rsid w:val="2D97621C"/>
    <w:rsid w:val="39841043"/>
    <w:rsid w:val="3F7C19DA"/>
    <w:rsid w:val="40442497"/>
    <w:rsid w:val="4BC00A7C"/>
    <w:rsid w:val="4D662DC1"/>
    <w:rsid w:val="52E0623F"/>
    <w:rsid w:val="5966555F"/>
    <w:rsid w:val="5C682E60"/>
    <w:rsid w:val="5FB86371"/>
    <w:rsid w:val="5FC5627C"/>
    <w:rsid w:val="67545B2D"/>
    <w:rsid w:val="6E35646A"/>
    <w:rsid w:val="6EA86553"/>
    <w:rsid w:val="711E0931"/>
    <w:rsid w:val="78093E65"/>
    <w:rsid w:val="7BEB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E546D"/>
    <w:pPr>
      <w:ind w:firstLineChars="200" w:firstLine="420"/>
    </w:pPr>
  </w:style>
  <w:style w:type="character" w:customStyle="1" w:styleId="Char">
    <w:name w:val="页脚 Char"/>
    <w:link w:val="a4"/>
    <w:uiPriority w:val="99"/>
    <w:rsid w:val="001E546D"/>
    <w:rPr>
      <w:kern w:val="2"/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1E546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basedOn w:val="a0"/>
    <w:rsid w:val="001E546D"/>
    <w:rPr>
      <w:rFonts w:ascii="Calibri" w:eastAsiaTheme="minorEastAsia" w:hAnsi="Calibri" w:cstheme="minorBidi"/>
      <w:kern w:val="2"/>
      <w:sz w:val="18"/>
      <w:szCs w:val="18"/>
    </w:rPr>
  </w:style>
  <w:style w:type="character" w:styleId="a5">
    <w:name w:val="line number"/>
    <w:basedOn w:val="a0"/>
    <w:rsid w:val="00A257D3"/>
  </w:style>
  <w:style w:type="paragraph" w:customStyle="1" w:styleId="p0">
    <w:name w:val="p0"/>
    <w:basedOn w:val="a"/>
    <w:rsid w:val="002F014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6">
    <w:name w:val="header"/>
    <w:basedOn w:val="a"/>
    <w:link w:val="Char0"/>
    <w:rsid w:val="00FD0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D0694"/>
    <w:rPr>
      <w:rFonts w:ascii="Calibri" w:eastAsiaTheme="minorEastAsia" w:hAnsi="Calibr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E546D"/>
    <w:pPr>
      <w:ind w:firstLineChars="200" w:firstLine="420"/>
    </w:pPr>
  </w:style>
  <w:style w:type="character" w:customStyle="1" w:styleId="Char">
    <w:name w:val="页脚 Char"/>
    <w:link w:val="a4"/>
    <w:uiPriority w:val="99"/>
    <w:rsid w:val="001E546D"/>
    <w:rPr>
      <w:kern w:val="2"/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1E546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basedOn w:val="a0"/>
    <w:rsid w:val="001E546D"/>
    <w:rPr>
      <w:rFonts w:ascii="Calibri" w:eastAsiaTheme="minorEastAsia" w:hAnsi="Calibri" w:cstheme="minorBidi"/>
      <w:kern w:val="2"/>
      <w:sz w:val="18"/>
      <w:szCs w:val="18"/>
    </w:rPr>
  </w:style>
  <w:style w:type="character" w:styleId="a5">
    <w:name w:val="line number"/>
    <w:basedOn w:val="a0"/>
    <w:rsid w:val="00A257D3"/>
  </w:style>
  <w:style w:type="paragraph" w:customStyle="1" w:styleId="p0">
    <w:name w:val="p0"/>
    <w:basedOn w:val="a"/>
    <w:rsid w:val="002F014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6">
    <w:name w:val="header"/>
    <w:basedOn w:val="a"/>
    <w:link w:val="Char0"/>
    <w:rsid w:val="00FD0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FD0694"/>
    <w:rPr>
      <w:rFonts w:ascii="Calibri" w:eastAsiaTheme="minorEastAsia" w:hAnsi="Calibr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455</Words>
  <Characters>2597</Characters>
  <Application>Microsoft Office Word</Application>
  <DocSecurity>0</DocSecurity>
  <Lines>21</Lines>
  <Paragraphs>6</Paragraphs>
  <ScaleCrop>false</ScaleCrop>
  <Company>P R C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21</cp:revision>
  <cp:lastPrinted>2018-08-06T00:36:00Z</cp:lastPrinted>
  <dcterms:created xsi:type="dcterms:W3CDTF">2018-01-04T09:29:00Z</dcterms:created>
  <dcterms:modified xsi:type="dcterms:W3CDTF">2019-02-27T09:01:00Z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