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宁郭镇人民政府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2019年度部门预算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860" w:firstLineChars="65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2019年4月3日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1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43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第二部门 宁郭镇人民政府2019年部门预算情况说明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宁郭镇人民政府2019年度部门预算表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十一、国有资本经营预算收支表</w:t>
      </w:r>
    </w:p>
    <w:p>
      <w:pPr>
        <w:adjustRightInd w:val="0"/>
        <w:snapToGrid w:val="0"/>
        <w:spacing w:line="360" w:lineRule="auto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855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855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855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宁郭镇人民政府概况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机构设置情况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宁郭镇人民政府下设三</w:t>
      </w:r>
      <w:r>
        <w:rPr>
          <w:rFonts w:hint="eastAsia" w:ascii="仿宋" w:hAnsi="仿宋" w:eastAsia="仿宋"/>
          <w:sz w:val="30"/>
          <w:szCs w:val="30"/>
        </w:rPr>
        <w:t>个办公室和五个中心，三个办公室分别是：党政办公室、社会事务办公室、经济办公室，五个中心分别是：农业服务中心、文化服务中心、村镇建设发展中心、计生服务中心、民政服务中心。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部门职责</w:t>
      </w:r>
    </w:p>
    <w:p>
      <w:pPr>
        <w:rPr>
          <w:rFonts w:ascii="仿宋" w:hAnsi="仿宋" w:eastAsia="仿宋"/>
          <w:sz w:val="30"/>
          <w:szCs w:val="30"/>
        </w:rPr>
        <w:sectPr>
          <w:footerReference r:id="rId4" w:type="default"/>
          <w:pgSz w:w="11906" w:h="16838"/>
          <w:pgMar w:top="1440" w:right="1531" w:bottom="1440" w:left="1587" w:header="850" w:footer="992" w:gutter="0"/>
          <w:pgNumType w:fmt="numberInDash" w:start="1"/>
          <w:cols w:space="0" w:num="1"/>
          <w:docGrid w:type="lines" w:linePitch="317"/>
        </w:sect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</w:t>
      </w:r>
      <w:r>
        <w:rPr>
          <w:rFonts w:ascii="仿宋" w:hAnsi="仿宋" w:eastAsia="仿宋"/>
          <w:color w:val="222222"/>
          <w:sz w:val="30"/>
          <w:szCs w:val="30"/>
          <w:shd w:val="clear" w:color="auto" w:fill="FFFFFF"/>
        </w:rPr>
        <w:t>宣传和贯彻执行党的路线、方针、政策</w:t>
      </w:r>
      <w:r>
        <w:rPr>
          <w:rFonts w:hint="eastAsia" w:ascii="仿宋" w:hAnsi="仿宋" w:eastAsia="仿宋"/>
          <w:color w:val="222222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/>
          <w:sz w:val="30"/>
          <w:szCs w:val="30"/>
          <w:shd w:val="clear" w:color="auto" w:fill="FFFFFF"/>
        </w:rPr>
        <w:t>执行本行政区域内的经济和社会发展计划、预算，管理本行政区域内的经济、教育、科学、文化、卫生、体育事业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以及</w:t>
      </w:r>
      <w:r>
        <w:rPr>
          <w:rFonts w:ascii="仿宋" w:hAnsi="仿宋" w:eastAsia="仿宋"/>
          <w:sz w:val="30"/>
          <w:szCs w:val="30"/>
          <w:shd w:val="clear" w:color="auto" w:fill="FFFFFF"/>
        </w:rPr>
        <w:t>财政、民政、公安、司法行政、计划生育等行政工作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/>
          <w:color w:val="222222"/>
          <w:sz w:val="30"/>
          <w:szCs w:val="30"/>
          <w:shd w:val="clear" w:color="auto" w:fill="FFFFFF"/>
        </w:rPr>
        <w:t>维护社会秩序，保障公民的人身权利、民主权利和其他权利</w:t>
      </w:r>
      <w:r>
        <w:rPr>
          <w:rFonts w:hint="eastAsia" w:ascii="仿宋" w:hAnsi="仿宋" w:eastAsia="仿宋"/>
          <w:color w:val="222222"/>
          <w:sz w:val="30"/>
          <w:szCs w:val="30"/>
          <w:shd w:val="clear" w:color="auto" w:fill="FFFFFF"/>
        </w:rPr>
        <w:t>。</w:t>
      </w:r>
    </w:p>
    <w:p>
      <w:pPr>
        <w:kinsoku w:val="0"/>
        <w:overflowPunct w:val="0"/>
        <w:adjustRightInd w:val="0"/>
        <w:snapToGrid w:val="0"/>
        <w:spacing w:line="580" w:lineRule="exact"/>
        <w:ind w:firstLine="622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二、宁郭镇人民政府预算单位构成</w:t>
      </w:r>
    </w:p>
    <w:p>
      <w:pPr>
        <w:widowControl/>
        <w:ind w:firstLine="62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宁郭镇人民政府有二级预算单位0个，三级预算单位0个。本单位是一级预算单位。</w:t>
      </w:r>
    </w:p>
    <w:p>
      <w:pPr>
        <w:widowControl/>
        <w:shd w:val="clear" w:color="auto" w:fill="FFFFFF"/>
        <w:spacing w:line="450" w:lineRule="atLeast"/>
        <w:ind w:firstLine="3427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宁郭镇人民政府2019年度部门预算情况说明</w:t>
      </w:r>
    </w:p>
    <w:p>
      <w:pPr>
        <w:adjustRightInd w:val="0"/>
        <w:snapToGrid w:val="0"/>
        <w:spacing w:line="360" w:lineRule="auto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宁郭镇人民政府2019年收入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万元，与2018年相比，收、支总计各增加</w:t>
      </w:r>
      <w:r>
        <w:rPr>
          <w:rFonts w:hint="eastAsia" w:ascii="Arial" w:hAnsi="Arial" w:eastAsia="仿宋_GB2312" w:cs="Arial"/>
          <w:sz w:val="32"/>
          <w:szCs w:val="32"/>
        </w:rPr>
        <w:t>178.97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</w:rPr>
        <w:t>19.44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Arial" w:hAnsi="Arial" w:eastAsia="仿宋_GB2312" w:cs="Arial"/>
          <w:sz w:val="32"/>
          <w:szCs w:val="32"/>
        </w:rPr>
        <w:t xml:space="preserve">工资和各类保险交费增长。  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宁郭镇人民政府2019年收入合计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宁郭镇人民政府2019年支出合计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sz w:val="32"/>
          <w:szCs w:val="32"/>
        </w:rPr>
        <w:t>979.43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89%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宁郭镇人民政府2019年一般公共预算收支预算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2018年相比，一般公共预算收支预算增加</w:t>
      </w:r>
      <w:r>
        <w:rPr>
          <w:rFonts w:hint="eastAsia" w:ascii="Arial" w:hAnsi="Arial" w:eastAsia="仿宋_GB2312" w:cs="Arial"/>
          <w:sz w:val="32"/>
          <w:szCs w:val="32"/>
        </w:rPr>
        <w:t>178.97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</w:rPr>
        <w:t>19.44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Arial" w:hAnsi="Arial" w:eastAsia="仿宋_GB2312" w:cs="Arial"/>
          <w:sz w:val="32"/>
          <w:szCs w:val="32"/>
        </w:rPr>
        <w:t>工资和各类保险交费增长；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政府性基金收支增加</w:t>
      </w:r>
      <w:r>
        <w:rPr>
          <w:rFonts w:hint="eastAsia" w:ascii="Arial" w:hAnsi="Arial" w:eastAsia="仿宋_GB2312" w:cs="Arial"/>
          <w:sz w:val="32"/>
          <w:szCs w:val="32"/>
        </w:rPr>
        <w:t>0万元，增长0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本单位没有政府性基金收支</w:t>
      </w:r>
      <w:r>
        <w:rPr>
          <w:rFonts w:hint="eastAsia" w:ascii="Arial" w:hAnsi="Arial" w:eastAsia="仿宋_GB2312" w:cs="Arial"/>
          <w:sz w:val="32"/>
          <w:szCs w:val="32"/>
        </w:rPr>
        <w:t>。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宁郭镇人民政府2019年一般公共预算支出年初预算为</w:t>
      </w:r>
      <w:r>
        <w:rPr>
          <w:rFonts w:hint="eastAsia" w:ascii="Arial" w:hAnsi="Arial" w:eastAsia="仿宋_GB2312" w:cs="Arial"/>
          <w:sz w:val="32"/>
          <w:szCs w:val="32"/>
        </w:rPr>
        <w:t>1099.43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社会保障和就业支出116.69万元，占10.61%，卫生健康支出17.94万元，占1.63%城乡社区支出900.03万元，占81.87%，住房保障支出64.77万元，占5.89%。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979.43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935.98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公用经费43.45万元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，主要包括：办公费、水费、电费、邮电费、培训费、差旅费、会议费、公务接待费等费用。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我单位2019年没有使用政府性基金预算拨款安排的支出。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我单位2019年没有使用国有资本经营预算拨款安排的支出。</w:t>
      </w:r>
    </w:p>
    <w:p>
      <w:pPr>
        <w:spacing w:line="560" w:lineRule="exact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 比 2018年预算数减少9.5万元，下降95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。主要是原因是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公车改革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取消公车运行费用，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深入贯彻“中央八项规定”精神等工作要求，大力压缩三公经费支出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1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万元。。预算数比2018年持平。</w:t>
      </w:r>
    </w:p>
    <w:p>
      <w:pPr>
        <w:widowControl/>
        <w:ind w:firstLine="621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，比2018年减少8.6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万元，较上年下降100%，主要原因：公车改革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取消公车运行费用。</w:t>
      </w:r>
    </w:p>
    <w:p>
      <w:pPr>
        <w:spacing w:line="560" w:lineRule="exact"/>
        <w:ind w:firstLine="621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（二）公务接待费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来人接待餐费、单位加班用餐支出，比2018年预算数减少0.94万元，减少34.72%，主要原因是，深入贯彻“中央八项规定”精神等工作要求，大力压缩三公经费支出。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宁郭镇人民政府2019年机关运行经费支出预算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43.45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万元，主要保障机关机构正常运转及正常履职需要的办公费、印刷费、水电费、邮电费、维修费、差旅费、会议费、培训费等支出，比2018年增加2.56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万元，增长6.26%，主要原因：相应上级要求压缩一般性支出。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2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2018年,我单位对1个项目进行了预算绩效评价，涉及资金13万元。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2019年，我单位列入预算管理总额为1099.43万元。其中人员支出935.98万元，公用支出43.45万元，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项目支出共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402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2018年期末，宁郭镇人民政府固定资产总额430万元，其中，房屋建筑物254万元，车辆37.3万元。共有车辆4辆，其中：一般公务用车2辆，其他用车2辆；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5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5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反应城乡社区道路清扫、垃圾清运与处理、公厕建设与维护、园林绿化等方面的支出。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附件：宁郭镇人民政府2019年度部门预算表</w:t>
      </w:r>
    </w:p>
    <w:p>
      <w:pPr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2019年4月2日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-</w:t>
                </w:r>
                <w:r>
                  <w:t xml:space="preserve"> 1 -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7947004">
    <w:nsid w:val="577F17FC"/>
    <w:multiLevelType w:val="singleLevel"/>
    <w:tmpl w:val="577F17FC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15138474">
    <w:nsid w:val="5A4F2DAA"/>
    <w:multiLevelType w:val="singleLevel"/>
    <w:tmpl w:val="5A4F2DAA"/>
    <w:lvl w:ilvl="0" w:tentative="1">
      <w:start w:val="1"/>
      <w:numFmt w:val="chineseCounting"/>
      <w:suff w:val="nothing"/>
      <w:lvlText w:val="（%1）"/>
      <w:lvlJc w:val="left"/>
    </w:lvl>
  </w:abstractNum>
  <w:abstractNum w:abstractNumId="1517907436">
    <w:nsid w:val="5A796DEC"/>
    <w:multiLevelType w:val="singleLevel"/>
    <w:tmpl w:val="5A796DEC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17907436"/>
  </w:num>
  <w:num w:numId="2">
    <w:abstractNumId w:val="1467947004"/>
  </w:num>
  <w:num w:numId="3">
    <w:abstractNumId w:val="1515138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line number"/>
    <w:basedOn w:val="3"/>
    <w:qFormat/>
    <w:uiPriority w:val="0"/>
    <w:rPr/>
  </w:style>
  <w:style w:type="paragraph" w:customStyle="1" w:styleId="5">
    <w:name w:val="List Paragraph"/>
    <w:basedOn w:val="1"/>
    <w:unhideWhenUsed/>
    <w:uiPriority w:val="99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脚 Char Char"/>
    <w:link w:val="2"/>
    <w:uiPriority w:val="99"/>
    <w:rPr>
      <w:kern w:val="2"/>
      <w:sz w:val="18"/>
      <w:szCs w:val="18"/>
    </w:rPr>
  </w:style>
  <w:style w:type="character" w:customStyle="1" w:styleId="8">
    <w:name w:val="页脚 Char1"/>
    <w:basedOn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442</Words>
  <Characters>2522</Characters>
  <Lines>21</Lines>
  <Paragraphs>5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2018-08-06T00:36:00Z</cp:lastPrinted>
  <dcterms:modified xsi:type="dcterms:W3CDTF">2019-12-06T11:05:53Z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