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方正小标宋简体" w:hAnsi="黑体" w:eastAsia="方正小标宋简体"/>
          <w:b w:val="0"/>
          <w:bCs w:val="0"/>
          <w:sz w:val="40"/>
          <w:szCs w:val="40"/>
        </w:rPr>
      </w:pPr>
      <w:bookmarkStart w:id="0" w:name="_Toc24724704"/>
      <w:r>
        <w:rPr>
          <w:rFonts w:hint="eastAsia" w:ascii="方正小标宋简体" w:hAnsi="黑体" w:eastAsia="方正小标宋简体"/>
          <w:b w:val="0"/>
          <w:bCs w:val="0"/>
          <w:sz w:val="40"/>
          <w:szCs w:val="40"/>
          <w:lang w:eastAsia="zh-CN"/>
        </w:rPr>
        <w:t>示范区</w:t>
      </w:r>
      <w:r>
        <w:rPr>
          <w:rFonts w:hint="eastAsia" w:ascii="方正小标宋简体" w:hAnsi="黑体" w:eastAsia="方正小标宋简体"/>
          <w:b w:val="0"/>
          <w:bCs w:val="0"/>
          <w:sz w:val="40"/>
          <w:szCs w:val="40"/>
        </w:rPr>
        <w:t>重大建设项目领域基层政务公开标准目录</w:t>
      </w:r>
      <w:bookmarkEnd w:id="0"/>
    </w:p>
    <w:tbl>
      <w:tblPr>
        <w:tblStyle w:val="4"/>
        <w:tblW w:w="13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主体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公开渠道和载体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（在标注范围内至少选择其一公开，法律法规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规章另有规定的从其规定）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对象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黑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一级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事项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二级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事项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特定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主动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□两微一端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□广播电视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□公开查阅点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两微一端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□公开查阅点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信用中国（河南）网站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pgSz w:w="15840" w:h="12240" w:orient="landscape"/>
      <w:pgMar w:top="1800" w:right="1440" w:bottom="1800" w:left="144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52A7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2020-11-06T06:52:00Z</dcterms:created>
  <dc:creator>Administrator</dc:creator>
  <cp:lastModifiedBy>Administrator</cp:lastModifiedBy>
  <dcterms:modified xsi:type="dcterms:W3CDTF">2020-11-06T09:02:19Z</dcterms:modified>
  <dc:title>示范区重大建设项目领域基层政务公开标准目录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