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焦作市城乡一体化示范区发展和改革委员会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年以来，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示范区发改委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认真贯彻落实《中华人民共和国政府信息公开条例》和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党工委、管委会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工作部署要求，坚持以公开为常态、不公开为例外，加强组织领导，细化工作责任，完善工作制度，加强规范化建设，现将政府信息公开工作总结如下：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制定规章及规范性文件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，未办理相关行政许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可、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行政处罚及其他对外管理服务事项，收到政府信息公开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行政复议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，未发生针对政府信息公开事务的行政诉讼。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行政事业性收费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0起。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4"/>
        <w:tblW w:w="901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250"/>
        <w:gridCol w:w="2250"/>
        <w:gridCol w:w="22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制作数量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公开数量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规范性文件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其他对外管理服务事项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采购项目数量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采购总金额（单位：万元，保留4位小数）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政府集中采购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15" w:lineRule="atLeast"/>
        <w:ind w:left="740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8951" w:type="dxa"/>
        <w:jc w:val="center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987"/>
        <w:gridCol w:w="1820"/>
        <w:gridCol w:w="968"/>
        <w:gridCol w:w="810"/>
        <w:gridCol w:w="685"/>
        <w:gridCol w:w="966"/>
        <w:gridCol w:w="868"/>
        <w:gridCol w:w="604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-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8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9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4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4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8982" w:type="dxa"/>
        <w:jc w:val="center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14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存在的问题主要有：一是政府信息公开意识有待加强；二是政务信息相关法律、条例学习不够系统、不够全面、不够深入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下一步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示范区发改委将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继续推进信息管理、审查、公开的规范化；组织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业务人员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加强学习，结合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发改、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商务工作实际，把信息公开的范围、时限等标准进一步明确清楚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进一步抓好信息公开工作。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960" w:firstLineChars="4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711F"/>
    <w:rsid w:val="07DD5C4C"/>
    <w:rsid w:val="08EE6543"/>
    <w:rsid w:val="0D0C42A4"/>
    <w:rsid w:val="0EE722D0"/>
    <w:rsid w:val="10F9202B"/>
    <w:rsid w:val="12C21B3F"/>
    <w:rsid w:val="1ACF2B18"/>
    <w:rsid w:val="21E50FF3"/>
    <w:rsid w:val="28E97F32"/>
    <w:rsid w:val="2B2A05A0"/>
    <w:rsid w:val="3D467CD4"/>
    <w:rsid w:val="45735D3A"/>
    <w:rsid w:val="52EE711F"/>
    <w:rsid w:val="558921D7"/>
    <w:rsid w:val="5B8C55F8"/>
    <w:rsid w:val="62454DCD"/>
    <w:rsid w:val="696B1C7C"/>
    <w:rsid w:val="71DA2A43"/>
    <w:rsid w:val="77AA6176"/>
    <w:rsid w:val="784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2020-01-21T02:37:00Z</dcterms:created>
  <dc:creator>Administrator</dc:creator>
  <cp:lastModifiedBy>村上春树舞舞舞(^.~)</cp:lastModifiedBy>
  <cp:lastPrinted>2021-01-21T01:49:00Z</cp:lastPrinted>
  <dcterms:modified xsi:type="dcterms:W3CDTF">2021-01-21T01:58:44Z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