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rPr>
          <w:rFonts w:ascii="黑体" w:hAnsi="黑体" w:eastAsia="黑体"/>
          <w:sz w:val="52"/>
          <w:szCs w:val="52"/>
        </w:rPr>
      </w:pPr>
      <w:r>
        <w:rPr>
          <w:rFonts w:hint="eastAsia" w:ascii="黑体" w:hAnsi="黑体" w:eastAsia="黑体"/>
          <w:sz w:val="52"/>
          <w:szCs w:val="52"/>
        </w:rPr>
        <w:t>焦作市城乡一体化示范区卫生和计划生育委员会</w:t>
      </w:r>
    </w:p>
    <w:p>
      <w:pPr>
        <w:jc w:val="center"/>
        <w:rPr>
          <w:rFonts w:ascii="黑体" w:hAnsi="黑体" w:eastAsia="黑体"/>
          <w:sz w:val="52"/>
          <w:szCs w:val="52"/>
        </w:rPr>
      </w:pPr>
      <w:r>
        <w:rPr>
          <w:rFonts w:hint="eastAsia" w:ascii="黑体" w:hAnsi="黑体" w:eastAsia="黑体"/>
          <w:sz w:val="52"/>
          <w:szCs w:val="52"/>
        </w:rPr>
        <w:t>201</w:t>
      </w:r>
      <w:r>
        <w:rPr>
          <w:rFonts w:hint="eastAsia" w:ascii="黑体" w:hAnsi="黑体" w:eastAsia="黑体"/>
          <w:sz w:val="52"/>
          <w:szCs w:val="52"/>
          <w:lang w:val="en-US" w:eastAsia="zh-CN"/>
        </w:rPr>
        <w:t>9</w:t>
      </w:r>
      <w:r>
        <w:rPr>
          <w:rFonts w:hint="eastAsia" w:ascii="黑体" w:hAnsi="黑体" w:eastAsia="黑体"/>
          <w:sz w:val="52"/>
          <w:szCs w:val="52"/>
        </w:rPr>
        <w:t>年度部门预算</w:t>
      </w:r>
    </w:p>
    <w:p>
      <w:pPr>
        <w:jc w:val="center"/>
        <w:rPr>
          <w:rFonts w:ascii="黑体" w:hAnsi="黑体" w:eastAsia="黑体"/>
          <w:sz w:val="52"/>
          <w:szCs w:val="52"/>
        </w:rPr>
      </w:pPr>
    </w:p>
    <w:p>
      <w:pPr>
        <w:jc w:val="center"/>
        <w:rPr>
          <w:rFonts w:ascii="黑体" w:hAnsi="黑体" w:eastAsia="黑体"/>
          <w:sz w:val="52"/>
          <w:szCs w:val="52"/>
        </w:rPr>
      </w:pPr>
    </w:p>
    <w:p>
      <w:pPr>
        <w:jc w:val="center"/>
        <w:rPr>
          <w:rFonts w:ascii="黑体" w:hAnsi="黑体" w:eastAsia="黑体"/>
          <w:sz w:val="52"/>
          <w:szCs w:val="52"/>
        </w:rPr>
      </w:pPr>
    </w:p>
    <w:p>
      <w:pPr>
        <w:jc w:val="center"/>
        <w:rPr>
          <w:rFonts w:ascii="黑体" w:hAnsi="黑体" w:eastAsia="黑体"/>
          <w:sz w:val="52"/>
          <w:szCs w:val="52"/>
        </w:rPr>
      </w:pPr>
    </w:p>
    <w:p>
      <w:pPr>
        <w:jc w:val="center"/>
        <w:rPr>
          <w:rFonts w:ascii="黑体" w:hAnsi="黑体" w:eastAsia="黑体"/>
          <w:sz w:val="52"/>
          <w:szCs w:val="52"/>
        </w:rPr>
      </w:pPr>
      <w:r>
        <w:rPr>
          <w:rFonts w:hint="eastAsia" w:ascii="黑体" w:hAnsi="方正小标宋简体" w:eastAsia="黑体" w:cs="方正小标宋简体"/>
          <w:color w:val="000000"/>
          <w:sz w:val="32"/>
          <w:szCs w:val="32"/>
        </w:rPr>
        <w:t>二○一九年三月</w:t>
      </w:r>
    </w:p>
    <w:p>
      <w:pPr>
        <w:adjustRightInd w:val="0"/>
        <w:snapToGrid w:val="0"/>
        <w:spacing w:line="360" w:lineRule="auto"/>
        <w:rPr>
          <w:rFonts w:ascii="方正小标宋简体" w:hAnsi="方正小标宋简体" w:eastAsia="方正小标宋简体" w:cs="方正小标宋简体"/>
          <w:sz w:val="44"/>
          <w:szCs w:val="44"/>
        </w:rPr>
      </w:pPr>
    </w:p>
    <w:p>
      <w:pPr>
        <w:kinsoku w:val="0"/>
        <w:overflowPunct w:val="0"/>
        <w:adjustRightInd w:val="0"/>
        <w:snapToGrid w:val="0"/>
        <w:spacing w:line="360" w:lineRule="auto"/>
        <w:ind w:left="101" w:right="3569" w:firstLine="624" w:firstLineChars="200"/>
        <w:rPr>
          <w:rFonts w:ascii="仿宋_GB2312" w:hAnsi="仿宋_GB2312" w:eastAsia="仿宋_GB2312" w:cs="仿宋_GB2312"/>
          <w:sz w:val="32"/>
          <w:szCs w:val="32"/>
        </w:rPr>
      </w:pPr>
    </w:p>
    <w:p>
      <w:pPr>
        <w:kinsoku w:val="0"/>
        <w:overflowPunct w:val="0"/>
        <w:adjustRightInd w:val="0"/>
        <w:snapToGrid w:val="0"/>
        <w:spacing w:line="360" w:lineRule="auto"/>
        <w:ind w:left="-142" w:right="51" w:firstLine="30" w:firstLineChars="7"/>
        <w:jc w:val="center"/>
        <w:rPr>
          <w:rFonts w:hint="eastAsia" w:ascii="仿宋_GB2312" w:hAnsi="仿宋_GB2312" w:eastAsia="仿宋_GB2312" w:cs="仿宋_GB2312"/>
          <w:sz w:val="44"/>
          <w:szCs w:val="44"/>
        </w:rPr>
      </w:pPr>
    </w:p>
    <w:p>
      <w:pPr>
        <w:kinsoku w:val="0"/>
        <w:overflowPunct w:val="0"/>
        <w:adjustRightInd w:val="0"/>
        <w:snapToGrid w:val="0"/>
        <w:spacing w:line="360" w:lineRule="auto"/>
        <w:ind w:left="-142" w:right="51" w:firstLine="30" w:firstLineChars="7"/>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pacing w:val="2"/>
          <w:sz w:val="44"/>
          <w:szCs w:val="44"/>
        </w:rPr>
        <w:t xml:space="preserve"> </w:t>
      </w:r>
      <w:r>
        <w:rPr>
          <w:rFonts w:hint="eastAsia" w:ascii="方正小标宋简体" w:hAnsi="方正小标宋简体" w:eastAsia="方正小标宋简体" w:cs="方正小标宋简体"/>
          <w:sz w:val="44"/>
          <w:szCs w:val="44"/>
        </w:rPr>
        <w:t>录</w:t>
      </w:r>
    </w:p>
    <w:p>
      <w:pPr>
        <w:kinsoku w:val="0"/>
        <w:overflowPunct w:val="0"/>
        <w:adjustRightInd w:val="0"/>
        <w:snapToGrid w:val="0"/>
        <w:spacing w:line="360" w:lineRule="auto"/>
        <w:ind w:right="3569" w:firstLine="624" w:firstLineChars="200"/>
        <w:rPr>
          <w:rFonts w:ascii="仿宋_GB2312" w:hAnsi="仿宋_GB2312" w:eastAsia="仿宋_GB2312" w:cs="仿宋_GB2312"/>
          <w:w w:val="99"/>
          <w:sz w:val="32"/>
          <w:szCs w:val="32"/>
        </w:rPr>
      </w:pPr>
      <w:r>
        <w:rPr>
          <w:rFonts w:hint="eastAsia" w:ascii="仿宋_GB2312" w:hAnsi="仿宋_GB2312" w:eastAsia="仿宋_GB2312" w:cs="仿宋_GB2312"/>
          <w:b/>
          <w:bCs/>
          <w:sz w:val="32"/>
          <w:szCs w:val="32"/>
        </w:rPr>
        <w:t>第一部分  概况</w:t>
      </w:r>
      <w:r>
        <w:rPr>
          <w:rFonts w:hint="eastAsia" w:ascii="仿宋_GB2312" w:hAnsi="仿宋_GB2312" w:eastAsia="仿宋_GB2312" w:cs="仿宋_GB2312"/>
          <w:w w:val="99"/>
          <w:sz w:val="32"/>
          <w:szCs w:val="32"/>
        </w:rPr>
        <w:t xml:space="preserve"> </w:t>
      </w:r>
    </w:p>
    <w:p>
      <w:pPr>
        <w:kinsoku w:val="0"/>
        <w:overflowPunct w:val="0"/>
        <w:adjustRightInd w:val="0"/>
        <w:snapToGrid w:val="0"/>
        <w:spacing w:line="360" w:lineRule="auto"/>
        <w:ind w:right="3569" w:firstLine="936"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一、主要职能</w:t>
      </w:r>
    </w:p>
    <w:p>
      <w:pPr>
        <w:kinsoku w:val="0"/>
        <w:overflowPunct w:val="0"/>
        <w:adjustRightInd w:val="0"/>
        <w:snapToGrid w:val="0"/>
        <w:spacing w:line="360" w:lineRule="auto"/>
        <w:ind w:right="3569" w:firstLine="936"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二、部门预算单位构成</w:t>
      </w:r>
    </w:p>
    <w:p>
      <w:pPr>
        <w:kinsoku w:val="0"/>
        <w:overflowPunct w:val="0"/>
        <w:adjustRightInd w:val="0"/>
        <w:snapToGrid w:val="0"/>
        <w:spacing w:line="360" w:lineRule="auto"/>
        <w:ind w:right="521" w:firstLine="624"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第二部门 卫生计生委201</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年部门预算情况说明</w:t>
      </w:r>
    </w:p>
    <w:p>
      <w:pPr>
        <w:kinsoku w:val="0"/>
        <w:overflowPunct w:val="0"/>
        <w:adjustRightInd w:val="0"/>
        <w:snapToGrid w:val="0"/>
        <w:spacing w:line="360" w:lineRule="auto"/>
        <w:ind w:right="521" w:firstLine="624"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第三部分 名词解释</w:t>
      </w:r>
    </w:p>
    <w:p>
      <w:pPr>
        <w:kinsoku w:val="0"/>
        <w:overflowPunct w:val="0"/>
        <w:adjustRightInd w:val="0"/>
        <w:snapToGrid w:val="0"/>
        <w:spacing w:line="360" w:lineRule="auto"/>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pacing w:val="-32"/>
          <w:sz w:val="32"/>
          <w:szCs w:val="32"/>
        </w:rPr>
        <w:t xml:space="preserve"> </w:t>
      </w:r>
      <w:r>
        <w:rPr>
          <w:rFonts w:hint="eastAsia" w:ascii="仿宋_GB2312" w:hAnsi="仿宋_GB2312" w:eastAsia="仿宋_GB2312" w:cs="仿宋_GB2312"/>
          <w:sz w:val="32"/>
          <w:szCs w:val="32"/>
        </w:rPr>
        <w:t xml:space="preserve"> 卫生计生委201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年度部门预算表</w:t>
      </w:r>
    </w:p>
    <w:p>
      <w:pPr>
        <w:kinsoku w:val="0"/>
        <w:overflowPunct w:val="0"/>
        <w:adjustRightInd w:val="0"/>
        <w:snapToGrid w:val="0"/>
        <w:spacing w:line="360" w:lineRule="auto"/>
        <w:ind w:right="51" w:firstLine="1872"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一、部门收支总体情况表</w:t>
      </w:r>
    </w:p>
    <w:p>
      <w:pPr>
        <w:kinsoku w:val="0"/>
        <w:overflowPunct w:val="0"/>
        <w:adjustRightInd w:val="0"/>
        <w:snapToGrid w:val="0"/>
        <w:spacing w:line="360" w:lineRule="auto"/>
        <w:ind w:right="51" w:firstLine="1872"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二、部门收入总体情况表</w:t>
      </w:r>
    </w:p>
    <w:p>
      <w:pPr>
        <w:kinsoku w:val="0"/>
        <w:overflowPunct w:val="0"/>
        <w:adjustRightInd w:val="0"/>
        <w:snapToGrid w:val="0"/>
        <w:spacing w:line="360" w:lineRule="auto"/>
        <w:ind w:right="51" w:firstLine="1872"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三、部门支出总体情况表</w:t>
      </w:r>
    </w:p>
    <w:p>
      <w:pPr>
        <w:kinsoku w:val="0"/>
        <w:overflowPunct w:val="0"/>
        <w:adjustRightInd w:val="0"/>
        <w:snapToGrid w:val="0"/>
        <w:spacing w:line="360" w:lineRule="auto"/>
        <w:ind w:right="51" w:firstLine="1872"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四、财政拨款收支总体情况表</w:t>
      </w:r>
    </w:p>
    <w:p>
      <w:pPr>
        <w:kinsoku w:val="0"/>
        <w:overflowPunct w:val="0"/>
        <w:adjustRightInd w:val="0"/>
        <w:snapToGrid w:val="0"/>
        <w:spacing w:line="360" w:lineRule="auto"/>
        <w:ind w:right="51" w:firstLine="1872"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五、一般公共预算支出情况表</w:t>
      </w:r>
    </w:p>
    <w:p>
      <w:pPr>
        <w:kinsoku w:val="0"/>
        <w:overflowPunct w:val="0"/>
        <w:adjustRightInd w:val="0"/>
        <w:snapToGrid w:val="0"/>
        <w:spacing w:line="360" w:lineRule="auto"/>
        <w:ind w:right="51" w:firstLine="1872"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六、一般公共预算基本支出情况表</w:t>
      </w:r>
    </w:p>
    <w:p>
      <w:pPr>
        <w:kinsoku w:val="0"/>
        <w:overflowPunct w:val="0"/>
        <w:adjustRightInd w:val="0"/>
        <w:snapToGrid w:val="0"/>
        <w:spacing w:line="360" w:lineRule="auto"/>
        <w:ind w:right="51" w:firstLine="1872"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七、一般公共预算“三公”经费支出情况表</w:t>
      </w:r>
    </w:p>
    <w:p>
      <w:pPr>
        <w:kinsoku w:val="0"/>
        <w:overflowPunct w:val="0"/>
        <w:adjustRightInd w:val="0"/>
        <w:snapToGrid w:val="0"/>
        <w:spacing w:line="360" w:lineRule="auto"/>
        <w:ind w:right="51" w:firstLine="1872"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八、政府性基金预算支出情况表</w:t>
      </w:r>
    </w:p>
    <w:p>
      <w:pPr>
        <w:kinsoku w:val="0"/>
        <w:overflowPunct w:val="0"/>
        <w:adjustRightInd w:val="0"/>
        <w:snapToGrid w:val="0"/>
        <w:spacing w:line="360" w:lineRule="auto"/>
        <w:ind w:right="51" w:firstLine="1872"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九、国有资本经营预算收支情况表</w:t>
      </w:r>
    </w:p>
    <w:p>
      <w:pPr>
        <w:kinsoku w:val="0"/>
        <w:overflowPunct w:val="0"/>
        <w:adjustRightInd w:val="0"/>
        <w:snapToGrid w:val="0"/>
        <w:spacing w:line="360" w:lineRule="auto"/>
        <w:ind w:right="51" w:firstLine="1872"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十、机关运行经费</w:t>
      </w:r>
    </w:p>
    <w:p>
      <w:pPr>
        <w:kinsoku w:val="0"/>
        <w:overflowPunct w:val="0"/>
        <w:adjustRightInd w:val="0"/>
        <w:snapToGrid w:val="0"/>
        <w:spacing w:line="360" w:lineRule="auto"/>
        <w:ind w:right="51" w:firstLine="1872"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十一、预算项目支出绩效目标表</w:t>
      </w:r>
    </w:p>
    <w:p>
      <w:pPr>
        <w:adjustRightInd w:val="0"/>
        <w:snapToGrid w:val="0"/>
        <w:spacing w:line="360" w:lineRule="auto"/>
        <w:ind w:firstLine="3744" w:firstLineChars="1200"/>
        <w:rPr>
          <w:rFonts w:ascii="仿宋_GB2312" w:hAnsi="仿宋_GB2312" w:eastAsia="仿宋_GB2312" w:cs="仿宋_GB2312"/>
          <w:sz w:val="32"/>
          <w:szCs w:val="32"/>
        </w:rPr>
      </w:pPr>
    </w:p>
    <w:p>
      <w:pPr>
        <w:adjustRightInd w:val="0"/>
        <w:snapToGrid w:val="0"/>
        <w:spacing w:line="360" w:lineRule="auto"/>
        <w:jc w:val="both"/>
        <w:rPr>
          <w:rFonts w:hint="eastAsia" w:ascii="黑体" w:hAnsi="黑体" w:eastAsia="黑体" w:cs="黑体"/>
          <w:b w:val="0"/>
          <w:bCs w:val="0"/>
          <w:sz w:val="44"/>
          <w:szCs w:val="44"/>
        </w:rPr>
      </w:pPr>
    </w:p>
    <w:p>
      <w:pPr>
        <w:adjustRightInd w:val="0"/>
        <w:snapToGrid w:val="0"/>
        <w:spacing w:line="360" w:lineRule="auto"/>
        <w:jc w:val="center"/>
        <w:rPr>
          <w:rFonts w:hint="eastAsia" w:ascii="黑体" w:hAnsi="黑体" w:eastAsia="黑体" w:cs="黑体"/>
          <w:b w:val="0"/>
          <w:bCs w:val="0"/>
          <w:sz w:val="44"/>
          <w:szCs w:val="44"/>
        </w:rPr>
      </w:pPr>
      <w:r>
        <w:rPr>
          <w:rFonts w:hint="eastAsia" w:ascii="黑体" w:hAnsi="黑体" w:eastAsia="黑体" w:cs="黑体"/>
          <w:b w:val="0"/>
          <w:bCs w:val="0"/>
          <w:sz w:val="44"/>
          <w:szCs w:val="44"/>
        </w:rPr>
        <w:t>第一部分</w:t>
      </w:r>
    </w:p>
    <w:p>
      <w:pPr>
        <w:adjustRightInd w:val="0"/>
        <w:snapToGrid w:val="0"/>
        <w:spacing w:line="360" w:lineRule="auto"/>
        <w:jc w:val="center"/>
        <w:rPr>
          <w:rFonts w:hint="eastAsia" w:ascii="黑体" w:hAnsi="黑体" w:eastAsia="黑体" w:cs="黑体"/>
          <w:b w:val="0"/>
          <w:bCs w:val="0"/>
          <w:sz w:val="44"/>
          <w:szCs w:val="44"/>
        </w:rPr>
      </w:pPr>
      <w:r>
        <w:rPr>
          <w:rFonts w:hint="eastAsia" w:ascii="黑体" w:hAnsi="黑体" w:eastAsia="黑体" w:cs="黑体"/>
          <w:b w:val="0"/>
          <w:bCs w:val="0"/>
          <w:sz w:val="44"/>
          <w:szCs w:val="44"/>
        </w:rPr>
        <w:t>区卫生计生委概况</w:t>
      </w:r>
    </w:p>
    <w:p>
      <w:pPr>
        <w:numPr>
          <w:numId w:val="0"/>
        </w:numPr>
        <w:adjustRightInd w:val="0"/>
        <w:snapToGrid w:val="0"/>
        <w:spacing w:line="580" w:lineRule="exact"/>
        <w:outlineLvl w:val="0"/>
        <w:rPr>
          <w:rFonts w:hint="eastAsia" w:ascii="黑体" w:hAnsi="仿宋_GB2312" w:eastAsia="黑体" w:cs="仿宋_GB2312"/>
          <w:color w:val="000000"/>
          <w:sz w:val="32"/>
          <w:szCs w:val="32"/>
          <w:lang w:val="en-US" w:eastAsia="zh-CN"/>
        </w:rPr>
      </w:pPr>
    </w:p>
    <w:p>
      <w:pPr>
        <w:numPr>
          <w:numId w:val="0"/>
        </w:numPr>
        <w:adjustRightInd w:val="0"/>
        <w:snapToGrid w:val="0"/>
        <w:spacing w:line="580" w:lineRule="exact"/>
        <w:outlineLvl w:val="0"/>
        <w:rPr>
          <w:rFonts w:hint="eastAsia" w:ascii="黑体" w:hAnsi="仿宋_GB2312" w:eastAsia="黑体" w:cs="仿宋_GB2312"/>
          <w:color w:val="000000"/>
          <w:sz w:val="32"/>
          <w:szCs w:val="32"/>
          <w:lang w:val="en-US" w:eastAsia="zh-CN"/>
        </w:rPr>
      </w:pPr>
      <w:r>
        <w:rPr>
          <w:rFonts w:hint="eastAsia" w:ascii="黑体" w:hAnsi="仿宋_GB2312" w:eastAsia="黑体" w:cs="仿宋_GB2312"/>
          <w:color w:val="000000"/>
          <w:sz w:val="32"/>
          <w:szCs w:val="32"/>
          <w:lang w:val="en-US" w:eastAsia="zh-CN"/>
        </w:rPr>
        <w:t xml:space="preserve">     一、主要职能</w:t>
      </w:r>
    </w:p>
    <w:p>
      <w:pPr>
        <w:kinsoku w:val="0"/>
        <w:overflowPunct w:val="0"/>
        <w:adjustRightInd w:val="0"/>
        <w:snapToGrid w:val="0"/>
        <w:spacing w:line="580" w:lineRule="exact"/>
        <w:ind w:right="3569" w:firstLine="622" w:firstLineChars="200"/>
        <w:jc w:val="left"/>
        <w:rPr>
          <w:rFonts w:hint="eastAsia" w:ascii="楷体_GB2312" w:hAnsi="仿宋_GB2312" w:eastAsia="楷体_GB2312" w:cs="仿宋_GB2312"/>
          <w:color w:val="000000"/>
          <w:sz w:val="32"/>
          <w:szCs w:val="32"/>
        </w:rPr>
      </w:pPr>
      <w:r>
        <w:rPr>
          <w:rFonts w:hint="eastAsia" w:ascii="楷体_GB2312" w:hAnsi="仿宋_GB2312" w:eastAsia="楷体_GB2312" w:cs="仿宋_GB2312"/>
          <w:color w:val="000000"/>
          <w:sz w:val="32"/>
          <w:szCs w:val="32"/>
          <w:lang w:eastAsia="zh-CN"/>
        </w:rPr>
        <w:t>（一）</w:t>
      </w:r>
      <w:r>
        <w:rPr>
          <w:rFonts w:hint="eastAsia" w:ascii="楷体_GB2312" w:hAnsi="仿宋_GB2312" w:eastAsia="楷体_GB2312" w:cs="仿宋_GB2312"/>
          <w:color w:val="000000"/>
          <w:sz w:val="32"/>
          <w:szCs w:val="32"/>
        </w:rPr>
        <w:t xml:space="preserve">机构设置情况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焦作市城乡一体化示范区卫生和计划生育委员会下设2个二级机构，卫生计生监督所和计生服务站，编制2名，实际人数2人（实职1名，虚职1名），规格为</w:t>
      </w:r>
      <w:r>
        <w:rPr>
          <w:rFonts w:hint="eastAsia" w:ascii="仿宋_GB2312" w:hAnsi="仿宋_GB2312" w:eastAsia="仿宋_GB2312" w:cs="仿宋_GB2312"/>
          <w:sz w:val="32"/>
          <w:szCs w:val="32"/>
          <w:lang w:eastAsia="zh-CN"/>
        </w:rPr>
        <w:t>正科</w:t>
      </w:r>
      <w:r>
        <w:rPr>
          <w:rFonts w:hint="eastAsia" w:ascii="仿宋_GB2312" w:hAnsi="仿宋_GB2312" w:eastAsia="仿宋_GB2312" w:cs="仿宋_GB2312"/>
          <w:sz w:val="32"/>
          <w:szCs w:val="32"/>
        </w:rPr>
        <w:t>级，经费供给方式为示范区财政全额拨付。</w:t>
      </w:r>
    </w:p>
    <w:p>
      <w:pPr>
        <w:kinsoku w:val="0"/>
        <w:overflowPunct w:val="0"/>
        <w:adjustRightInd w:val="0"/>
        <w:snapToGrid w:val="0"/>
        <w:spacing w:line="580" w:lineRule="exact"/>
        <w:ind w:right="3569" w:firstLine="622" w:firstLineChars="200"/>
        <w:jc w:val="left"/>
        <w:rPr>
          <w:rFonts w:hint="eastAsia" w:ascii="楷体_GB2312" w:hAnsi="仿宋_GB2312" w:eastAsia="楷体_GB2312" w:cs="仿宋_GB2312"/>
          <w:color w:val="000000"/>
          <w:sz w:val="32"/>
          <w:szCs w:val="32"/>
          <w:lang w:eastAsia="zh-CN"/>
        </w:rPr>
      </w:pPr>
      <w:r>
        <w:rPr>
          <w:rFonts w:hint="eastAsia" w:ascii="楷体_GB2312" w:hAnsi="仿宋_GB2312" w:eastAsia="楷体_GB2312" w:cs="仿宋_GB2312"/>
          <w:color w:val="000000"/>
          <w:sz w:val="32"/>
          <w:szCs w:val="32"/>
          <w:lang w:eastAsia="zh-CN"/>
        </w:rPr>
        <w:t>（二）部门职责</w:t>
      </w:r>
    </w:p>
    <w:p>
      <w:pPr>
        <w:widowControl/>
        <w:ind w:firstLine="624" w:firstLineChars="200"/>
        <w:jc w:val="left"/>
        <w:rPr>
          <w:rFonts w:ascii="仿宋_GB2312" w:eastAsia="仿宋_GB2312"/>
          <w:sz w:val="32"/>
          <w:szCs w:val="32"/>
        </w:rPr>
      </w:pPr>
      <w:r>
        <w:rPr>
          <w:rFonts w:hint="eastAsia" w:ascii="仿宋_GB2312" w:eastAsia="仿宋_GB2312"/>
          <w:sz w:val="32"/>
          <w:szCs w:val="32"/>
        </w:rPr>
        <w:t>1.贯彻执行党和国家、省关于卫生和计划生育工作的法律、法规和方针、政策；负责起草全区卫生和计划生育、中医药事业发展方面的规范性文件，拟订政策规划，参与制定卫生和计划生育、食品安全、医疗服务、公立医疗机构有关标准和技术规范。</w:t>
      </w:r>
    </w:p>
    <w:p>
      <w:pPr>
        <w:widowControl/>
        <w:ind w:firstLine="624" w:firstLineChars="200"/>
        <w:jc w:val="left"/>
        <w:rPr>
          <w:rFonts w:ascii="仿宋_GB2312" w:eastAsia="仿宋_GB2312"/>
          <w:sz w:val="32"/>
          <w:szCs w:val="32"/>
        </w:rPr>
      </w:pPr>
      <w:r>
        <w:rPr>
          <w:rFonts w:hint="eastAsia" w:ascii="仿宋_GB2312" w:eastAsia="仿宋_GB2312"/>
          <w:sz w:val="32"/>
          <w:szCs w:val="32"/>
        </w:rPr>
        <w:t>2.负责制定全区疾病预防控制规划、免疫规划、严重危害人民健康的公共卫生问题的干预措施并组织落实，根据国家检疫传染病和监测传染病目录，制定全区卫生应急和紧急医学救援预案、突发公共卫生事件监测和风险评估计划，组织和指导全区突发公共卫生事件预防控制和各类突发公共事件的医疗卫生救援，发布法定报告传染病疫情信息、突发公共卫生事件应急处置信息。</w:t>
      </w:r>
    </w:p>
    <w:p>
      <w:pPr>
        <w:widowControl/>
        <w:ind w:firstLine="624" w:firstLineChars="200"/>
        <w:jc w:val="left"/>
        <w:rPr>
          <w:rFonts w:ascii="仿宋_GB2312" w:eastAsia="仿宋_GB2312"/>
          <w:sz w:val="32"/>
          <w:szCs w:val="32"/>
        </w:rPr>
      </w:pPr>
      <w:r>
        <w:rPr>
          <w:rFonts w:hint="eastAsia" w:ascii="仿宋_GB2312" w:eastAsia="仿宋_GB2312"/>
          <w:sz w:val="32"/>
          <w:szCs w:val="32"/>
        </w:rPr>
        <w:t>3.组织实施职业卫生、放射卫生、环境卫生、学校卫生、公共场所卫生、饮用水卫生的管理规范、标准和政策措施，组织开展相关监测、调查、评估和监督工作，负责传染病防治监督工作。组织开展食品安全风险监测、评估工作。</w:t>
      </w:r>
    </w:p>
    <w:p>
      <w:pPr>
        <w:widowControl/>
        <w:ind w:firstLine="624" w:firstLineChars="200"/>
        <w:jc w:val="left"/>
        <w:rPr>
          <w:rFonts w:ascii="仿宋_GB2312" w:eastAsia="仿宋_GB2312"/>
          <w:sz w:val="32"/>
          <w:szCs w:val="32"/>
        </w:rPr>
      </w:pPr>
      <w:r>
        <w:rPr>
          <w:rFonts w:hint="eastAsia" w:ascii="仿宋_GB2312" w:eastAsia="仿宋_GB2312"/>
          <w:sz w:val="32"/>
          <w:szCs w:val="32"/>
        </w:rPr>
        <w:t>4.负责组织拟订并实施基层卫生和计划生育服务、妇幼卫生发展规划和政策措施，指导全区基层卫生和计划生育、妇幼卫生服务体系建设，推进基本公共卫生和计划生育服务均等化，完善基层运行新机制和乡村医生管理制度。负责新型农村合作医疗的综合管理工作。</w:t>
      </w:r>
    </w:p>
    <w:p>
      <w:pPr>
        <w:widowControl/>
        <w:ind w:firstLine="624" w:firstLineChars="200"/>
        <w:jc w:val="left"/>
        <w:rPr>
          <w:rFonts w:ascii="仿宋_GB2312" w:eastAsia="仿宋_GB2312"/>
          <w:sz w:val="32"/>
          <w:szCs w:val="32"/>
        </w:rPr>
      </w:pPr>
      <w:r>
        <w:rPr>
          <w:rFonts w:hint="eastAsia" w:ascii="仿宋_GB2312" w:eastAsia="仿宋_GB2312"/>
          <w:sz w:val="32"/>
          <w:szCs w:val="32"/>
        </w:rPr>
        <w:t>5.监督实施医疗机构和医疗服务行业管理办法。组织实施医疗机构及其医疗服务、医疗技术、医疗质量、医疗安全以及采供血机构管理的规范、标准，监督实施卫生专业技术人员执业规则和服务规范，建立医疗机构服务评价和监督管理体系。</w:t>
      </w:r>
    </w:p>
    <w:p>
      <w:pPr>
        <w:widowControl/>
        <w:ind w:firstLine="624" w:firstLineChars="200"/>
        <w:jc w:val="left"/>
        <w:rPr>
          <w:rFonts w:ascii="仿宋_GB2312" w:eastAsia="仿宋_GB2312"/>
          <w:sz w:val="32"/>
          <w:szCs w:val="32"/>
        </w:rPr>
      </w:pPr>
      <w:r>
        <w:rPr>
          <w:rFonts w:hint="eastAsia" w:ascii="仿宋_GB2312" w:eastAsia="仿宋_GB2312"/>
          <w:sz w:val="32"/>
          <w:szCs w:val="32"/>
        </w:rPr>
        <w:t>6.负责组织推进公立医院改革，建立公益性为导向的绩效考核和评价运行机制，建设和谐医患关系，提出医疗服务和药品价格政策的建议。</w:t>
      </w:r>
    </w:p>
    <w:p>
      <w:pPr>
        <w:widowControl/>
        <w:ind w:firstLine="624" w:firstLineChars="200"/>
        <w:jc w:val="left"/>
        <w:rPr>
          <w:rFonts w:ascii="仿宋_GB2312" w:eastAsia="仿宋_GB2312"/>
          <w:sz w:val="32"/>
          <w:szCs w:val="32"/>
        </w:rPr>
      </w:pPr>
      <w:r>
        <w:rPr>
          <w:rFonts w:hint="eastAsia" w:ascii="仿宋_GB2312" w:eastAsia="仿宋_GB2312"/>
          <w:sz w:val="32"/>
          <w:szCs w:val="32"/>
        </w:rPr>
        <w:t>7.贯彻落实国家药物政策和国家基本药物制度，实施国家药品法典和国家基本药物目录；制定基本药物采购、配送、使用的政策措施；提出市内国家基本药物价格政策建议。</w:t>
      </w:r>
    </w:p>
    <w:p>
      <w:pPr>
        <w:widowControl/>
        <w:ind w:firstLine="624" w:firstLineChars="200"/>
        <w:jc w:val="left"/>
        <w:rPr>
          <w:rFonts w:ascii="仿宋_GB2312" w:eastAsia="仿宋_GB2312"/>
          <w:sz w:val="32"/>
          <w:szCs w:val="32"/>
        </w:rPr>
      </w:pPr>
      <w:r>
        <w:rPr>
          <w:rFonts w:hint="eastAsia" w:ascii="仿宋_GB2312" w:eastAsia="仿宋_GB2312"/>
          <w:sz w:val="32"/>
          <w:szCs w:val="32"/>
        </w:rPr>
        <w:t>8.贯彻落实生育政策，组织实施促进全区出生人口性别平衡的政策措施，组织监测计划生育发展动态，提出发布计划生育安全预警预报信息建议。制定计划生育服务管理制度并监督实施。制定优生优育和提高出生人口素质的政策措施并组织实施，推动实施计划生育生殖健康促进计划，降低出生缺陷人口数量。</w:t>
      </w:r>
    </w:p>
    <w:p>
      <w:pPr>
        <w:widowControl/>
        <w:ind w:firstLine="624" w:firstLineChars="200"/>
        <w:jc w:val="left"/>
        <w:rPr>
          <w:rFonts w:ascii="仿宋_GB2312" w:eastAsia="仿宋_GB2312"/>
          <w:sz w:val="32"/>
          <w:szCs w:val="32"/>
        </w:rPr>
      </w:pPr>
      <w:r>
        <w:rPr>
          <w:rFonts w:hint="eastAsia" w:ascii="仿宋_GB2312" w:eastAsia="仿宋_GB2312"/>
          <w:sz w:val="32"/>
          <w:szCs w:val="32"/>
        </w:rPr>
        <w:t>9.组织建立计划生育利益导向、计划生育特殊困难家庭救助和促进计划生育家庭发展等制度、机制。协调推动有关部门、群众团体履行计划生育工作相关职责，建立与经济社会发展政策衔接机制，提出稳定低生育水平的政策措施。</w:t>
      </w:r>
    </w:p>
    <w:p>
      <w:pPr>
        <w:widowControl/>
        <w:ind w:firstLine="624" w:firstLineChars="200"/>
        <w:jc w:val="left"/>
        <w:rPr>
          <w:rFonts w:ascii="仿宋_GB2312" w:eastAsia="仿宋_GB2312"/>
          <w:sz w:val="32"/>
          <w:szCs w:val="32"/>
        </w:rPr>
      </w:pPr>
      <w:r>
        <w:rPr>
          <w:rFonts w:hint="eastAsia" w:ascii="仿宋_GB2312" w:eastAsia="仿宋_GB2312"/>
          <w:sz w:val="32"/>
          <w:szCs w:val="32"/>
        </w:rPr>
        <w:t>10.制定流动人口计划生育服务管理制度并组织实施，推动建立流动人口计划生育信息共享和公共服务工作机制。</w:t>
      </w:r>
    </w:p>
    <w:p>
      <w:pPr>
        <w:widowControl/>
        <w:ind w:firstLine="624" w:firstLineChars="200"/>
        <w:jc w:val="left"/>
        <w:rPr>
          <w:rFonts w:ascii="仿宋_GB2312" w:eastAsia="仿宋_GB2312"/>
          <w:sz w:val="32"/>
          <w:szCs w:val="32"/>
        </w:rPr>
      </w:pPr>
      <w:r>
        <w:rPr>
          <w:rFonts w:hint="eastAsia" w:ascii="仿宋_GB2312" w:eastAsia="仿宋_GB2312"/>
          <w:sz w:val="32"/>
          <w:szCs w:val="32"/>
        </w:rPr>
        <w:t>11.组织拟订全区卫生和计划生育人才发展规划，加强卫生和计划生育人才队伍建设。加强全科医生等急需紧缺专业人才培养，贯彻落实国家住院医师和专科医师规范化培训制度。</w:t>
      </w:r>
    </w:p>
    <w:p>
      <w:pPr>
        <w:widowControl/>
        <w:ind w:firstLine="624" w:firstLineChars="200"/>
        <w:jc w:val="left"/>
        <w:rPr>
          <w:rFonts w:ascii="仿宋_GB2312" w:eastAsia="仿宋_GB2312"/>
          <w:sz w:val="32"/>
          <w:szCs w:val="32"/>
        </w:rPr>
      </w:pPr>
      <w:r>
        <w:rPr>
          <w:rFonts w:hint="eastAsia" w:ascii="仿宋_GB2312" w:eastAsia="仿宋_GB2312"/>
          <w:sz w:val="32"/>
          <w:szCs w:val="32"/>
        </w:rPr>
        <w:t>12.负责卫生和计划生育宣传、健康教育、健康促进和信息化建设等工作，依法组织开展统计调查，参与人口基础信息库建设。组织卫生和计划生育对外交流合作与卫生救援工作。</w:t>
      </w:r>
    </w:p>
    <w:p>
      <w:pPr>
        <w:widowControl/>
        <w:ind w:firstLine="624" w:firstLineChars="200"/>
        <w:jc w:val="left"/>
        <w:rPr>
          <w:rFonts w:ascii="仿宋_GB2312" w:eastAsia="仿宋_GB2312"/>
          <w:sz w:val="32"/>
          <w:szCs w:val="32"/>
        </w:rPr>
      </w:pPr>
      <w:r>
        <w:rPr>
          <w:rFonts w:hint="eastAsia" w:ascii="仿宋_GB2312" w:eastAsia="仿宋_GB2312"/>
          <w:sz w:val="32"/>
          <w:szCs w:val="32"/>
        </w:rPr>
        <w:t>13.制定全区中医药中长期发展规划，并纳入卫生和计划生育事业发展总体规划和战略目标。</w:t>
      </w:r>
    </w:p>
    <w:p>
      <w:pPr>
        <w:widowControl/>
        <w:ind w:firstLine="624" w:firstLineChars="200"/>
        <w:jc w:val="left"/>
        <w:rPr>
          <w:rFonts w:ascii="仿宋_GB2312" w:eastAsia="仿宋_GB2312"/>
          <w:sz w:val="32"/>
          <w:szCs w:val="32"/>
        </w:rPr>
      </w:pPr>
      <w:r>
        <w:rPr>
          <w:rFonts w:hint="eastAsia" w:ascii="仿宋_GB2312" w:eastAsia="仿宋_GB2312"/>
          <w:sz w:val="32"/>
          <w:szCs w:val="32"/>
        </w:rPr>
        <w:t>14.承担地方病防治领导小组、防治艾滋病工作委员会、区人口和计划生育领导小组的日常工作。</w:t>
      </w:r>
    </w:p>
    <w:p>
      <w:pPr>
        <w:widowControl/>
        <w:ind w:firstLine="624" w:firstLineChars="200"/>
        <w:jc w:val="left"/>
        <w:rPr>
          <w:rFonts w:ascii="仿宋_GB2312" w:eastAsia="仿宋_GB2312"/>
          <w:sz w:val="32"/>
          <w:szCs w:val="32"/>
        </w:rPr>
      </w:pPr>
      <w:r>
        <w:rPr>
          <w:rFonts w:hint="eastAsia" w:ascii="仿宋_GB2312" w:eastAsia="仿宋_GB2312"/>
          <w:sz w:val="32"/>
          <w:szCs w:val="32"/>
        </w:rPr>
        <w:t>15.组织开展卫生城镇及单位、健康城市创建和城区病媒生物防制、农村改厕、环境卫生治理工作；开展爱国卫生宣传、普及卫生知识，开展群众性卫生监督。</w:t>
      </w:r>
    </w:p>
    <w:p>
      <w:pPr>
        <w:widowControl/>
        <w:ind w:firstLine="624" w:firstLineChars="200"/>
        <w:jc w:val="left"/>
        <w:rPr>
          <w:rFonts w:ascii="仿宋_GB2312" w:eastAsia="仿宋_GB2312"/>
          <w:sz w:val="32"/>
          <w:szCs w:val="32"/>
        </w:rPr>
      </w:pPr>
      <w:r>
        <w:rPr>
          <w:rFonts w:hint="eastAsia" w:ascii="仿宋_GB2312" w:eastAsia="仿宋_GB2312"/>
          <w:sz w:val="32"/>
          <w:szCs w:val="32"/>
        </w:rPr>
        <w:t>16.承办法律、法规和规章规定的行政审批事项，其它事项按权限规定办理。</w:t>
      </w:r>
    </w:p>
    <w:p>
      <w:pPr>
        <w:widowControl/>
        <w:ind w:firstLine="624" w:firstLineChars="200"/>
        <w:jc w:val="left"/>
        <w:rPr>
          <w:rFonts w:ascii="仿宋_GB2312" w:eastAsia="仿宋_GB2312"/>
          <w:sz w:val="32"/>
          <w:szCs w:val="32"/>
        </w:rPr>
      </w:pPr>
      <w:r>
        <w:rPr>
          <w:rFonts w:hint="eastAsia" w:ascii="仿宋_GB2312" w:eastAsia="仿宋_GB2312"/>
          <w:sz w:val="32"/>
          <w:szCs w:val="32"/>
        </w:rPr>
        <w:t>17.承办管委会交办的其他事项。</w:t>
      </w:r>
    </w:p>
    <w:p>
      <w:pPr>
        <w:numPr>
          <w:numId w:val="0"/>
        </w:numPr>
        <w:adjustRightInd w:val="0"/>
        <w:snapToGrid w:val="0"/>
        <w:spacing w:line="580" w:lineRule="exact"/>
        <w:ind w:firstLine="624" w:firstLineChars="200"/>
        <w:outlineLvl w:val="0"/>
        <w:rPr>
          <w:rFonts w:hint="eastAsia" w:ascii="黑体" w:hAnsi="仿宋_GB2312" w:eastAsia="黑体" w:cs="仿宋_GB2312"/>
          <w:color w:val="000000"/>
          <w:sz w:val="32"/>
          <w:szCs w:val="32"/>
        </w:rPr>
      </w:pPr>
      <w:r>
        <w:rPr>
          <w:rFonts w:hint="eastAsia" w:ascii="黑体" w:hAnsi="仿宋_GB2312" w:eastAsia="黑体" w:cs="仿宋_GB2312"/>
          <w:color w:val="000000"/>
          <w:sz w:val="32"/>
          <w:szCs w:val="32"/>
          <w:lang w:eastAsia="zh-CN"/>
        </w:rPr>
        <w:t>二、</w:t>
      </w:r>
      <w:r>
        <w:rPr>
          <w:rFonts w:hint="eastAsia" w:ascii="黑体" w:hAnsi="仿宋_GB2312" w:eastAsia="黑体" w:cs="仿宋_GB2312"/>
          <w:color w:val="000000"/>
          <w:sz w:val="32"/>
          <w:szCs w:val="32"/>
        </w:rPr>
        <w:t>示范区卫生计生委部门预算单位构成</w:t>
      </w:r>
    </w:p>
    <w:p>
      <w:pPr>
        <w:numPr>
          <w:numId w:val="0"/>
        </w:numPr>
        <w:adjustRightInd w:val="0"/>
        <w:snapToGrid w:val="0"/>
        <w:spacing w:line="580" w:lineRule="exact"/>
        <w:ind w:firstLine="624" w:firstLineChars="200"/>
        <w:outlineLvl w:val="0"/>
        <w:rPr>
          <w:rFonts w:hint="eastAsia" w:ascii="黑体" w:hAnsi="仿宋_GB2312" w:eastAsia="黑体" w:cs="仿宋_GB2312"/>
          <w:color w:val="000000"/>
          <w:sz w:val="32"/>
          <w:szCs w:val="32"/>
        </w:rPr>
      </w:pPr>
    </w:p>
    <w:p>
      <w:pPr>
        <w:kinsoku w:val="0"/>
        <w:overflowPunct w:val="0"/>
        <w:adjustRightInd w:val="0"/>
        <w:snapToGrid w:val="0"/>
        <w:spacing w:line="360" w:lineRule="auto"/>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焦作市城乡一体化示范区卫生和计划生育委员会下设2个二级机构，卫生计生监督所和计生服务站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本次预算为大局预算</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不属于汇总预算，不包含两个二级机构预算。</w:t>
      </w:r>
    </w:p>
    <w:p>
      <w:pPr>
        <w:widowControl/>
        <w:shd w:val="clear" w:color="auto" w:fill="FFFFFF"/>
        <w:spacing w:line="450" w:lineRule="atLeast"/>
        <w:ind w:firstLine="3438" w:firstLineChars="1102"/>
        <w:jc w:val="left"/>
        <w:rPr>
          <w:rFonts w:ascii="仿宋_GB2312" w:hAnsi="仿宋_GB2312" w:eastAsia="仿宋_GB2312" w:cs="仿宋_GB2312"/>
          <w:sz w:val="32"/>
          <w:szCs w:val="32"/>
        </w:rPr>
      </w:pPr>
    </w:p>
    <w:p>
      <w:pPr>
        <w:widowControl/>
        <w:shd w:val="clear" w:color="auto" w:fill="FFFFFF"/>
        <w:spacing w:line="580" w:lineRule="exact"/>
        <w:jc w:val="center"/>
        <w:rPr>
          <w:rFonts w:hint="eastAsia" w:ascii="黑体" w:hAnsi="仿宋_GB2312" w:eastAsia="黑体" w:cs="仿宋_GB2312"/>
          <w:bCs/>
          <w:color w:val="000000"/>
          <w:sz w:val="36"/>
          <w:szCs w:val="36"/>
        </w:rPr>
      </w:pPr>
      <w:r>
        <w:rPr>
          <w:rFonts w:hint="eastAsia" w:ascii="黑体" w:hAnsi="仿宋_GB2312" w:eastAsia="黑体" w:cs="仿宋_GB2312"/>
          <w:bCs/>
          <w:color w:val="000000"/>
          <w:sz w:val="36"/>
          <w:szCs w:val="36"/>
        </w:rPr>
        <w:t>第二部分</w:t>
      </w:r>
    </w:p>
    <w:p>
      <w:pPr>
        <w:widowControl/>
        <w:shd w:val="clear" w:color="auto" w:fill="FFFFFF"/>
        <w:spacing w:line="580" w:lineRule="exact"/>
        <w:jc w:val="center"/>
        <w:rPr>
          <w:rFonts w:hint="eastAsia" w:ascii="黑体" w:hAnsi="仿宋_GB2312" w:eastAsia="黑体" w:cs="仿宋_GB2312"/>
          <w:bCs/>
          <w:color w:val="000000"/>
          <w:sz w:val="36"/>
          <w:szCs w:val="36"/>
        </w:rPr>
      </w:pPr>
      <w:r>
        <w:rPr>
          <w:rFonts w:hint="eastAsia" w:ascii="黑体" w:hAnsi="仿宋_GB2312" w:eastAsia="黑体" w:cs="仿宋_GB2312"/>
          <w:bCs/>
          <w:color w:val="000000"/>
          <w:sz w:val="36"/>
          <w:szCs w:val="36"/>
        </w:rPr>
        <w:t>示范区卫生计生委201</w:t>
      </w:r>
      <w:r>
        <w:rPr>
          <w:rFonts w:hint="eastAsia" w:ascii="黑体" w:hAnsi="仿宋_GB2312" w:eastAsia="黑体" w:cs="仿宋_GB2312"/>
          <w:bCs/>
          <w:color w:val="000000"/>
          <w:sz w:val="36"/>
          <w:szCs w:val="36"/>
          <w:lang w:val="en-US" w:eastAsia="zh-CN"/>
        </w:rPr>
        <w:t>9</w:t>
      </w:r>
      <w:r>
        <w:rPr>
          <w:rFonts w:hint="eastAsia" w:ascii="黑体" w:hAnsi="仿宋_GB2312" w:eastAsia="黑体" w:cs="仿宋_GB2312"/>
          <w:bCs/>
          <w:color w:val="000000"/>
          <w:sz w:val="36"/>
          <w:szCs w:val="36"/>
        </w:rPr>
        <w:t>年度部门预算情况说明</w:t>
      </w:r>
    </w:p>
    <w:p>
      <w:pPr>
        <w:adjustRightInd w:val="0"/>
        <w:snapToGrid w:val="0"/>
        <w:spacing w:line="360" w:lineRule="auto"/>
        <w:ind w:firstLine="624" w:firstLineChars="200"/>
        <w:outlineLvl w:val="0"/>
        <w:rPr>
          <w:rFonts w:hint="eastAsia" w:ascii="黑体" w:hAnsi="黑体" w:eastAsia="黑体" w:cs="黑体"/>
          <w:sz w:val="32"/>
          <w:szCs w:val="32"/>
        </w:rPr>
      </w:pPr>
    </w:p>
    <w:p>
      <w:pPr>
        <w:adjustRightInd w:val="0"/>
        <w:snapToGrid w:val="0"/>
        <w:spacing w:line="360" w:lineRule="auto"/>
        <w:ind w:firstLine="624" w:firstLineChars="200"/>
        <w:outlineLvl w:val="0"/>
        <w:rPr>
          <w:rFonts w:hint="eastAsia" w:ascii="黑体" w:hAnsi="黑体" w:eastAsia="黑体" w:cs="黑体"/>
          <w:color w:val="000000"/>
          <w:kern w:val="0"/>
          <w:sz w:val="32"/>
          <w:szCs w:val="32"/>
        </w:rPr>
      </w:pPr>
      <w:r>
        <w:rPr>
          <w:rFonts w:hint="eastAsia" w:ascii="黑体" w:hAnsi="黑体" w:eastAsia="黑体" w:cs="黑体"/>
          <w:sz w:val="32"/>
          <w:szCs w:val="32"/>
        </w:rPr>
        <w:t>一、收入支出预算总体情况说明</w:t>
      </w:r>
    </w:p>
    <w:p>
      <w:pPr>
        <w:adjustRightInd w:val="0"/>
        <w:snapToGrid w:val="0"/>
        <w:spacing w:line="360" w:lineRule="auto"/>
        <w:ind w:firstLine="624" w:firstLineChars="200"/>
        <w:rPr>
          <w:rFonts w:ascii="Arial" w:hAnsi="Arial" w:eastAsia="仿宋_GB2312" w:cs="Arial"/>
          <w:sz w:val="32"/>
          <w:szCs w:val="32"/>
        </w:rPr>
      </w:pPr>
      <w:r>
        <w:rPr>
          <w:rFonts w:hint="eastAsia" w:ascii="仿宋_GB2312" w:hAnsi="仿宋_GB2312" w:eastAsia="仿宋_GB2312" w:cs="仿宋_GB2312"/>
          <w:sz w:val="32"/>
          <w:szCs w:val="32"/>
        </w:rPr>
        <w:t>示范区卫生计生委201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年收入</w:t>
      </w:r>
      <w:r>
        <w:rPr>
          <w:rFonts w:hint="eastAsia" w:ascii="Arial" w:hAnsi="Arial" w:eastAsia="仿宋_GB2312" w:cs="Arial"/>
          <w:sz w:val="32"/>
          <w:szCs w:val="32"/>
          <w:lang w:val="en-US" w:eastAsia="zh-CN"/>
        </w:rPr>
        <w:t>1928.72</w:t>
      </w:r>
      <w:r>
        <w:rPr>
          <w:rFonts w:hint="eastAsia" w:ascii="仿宋_GB2312" w:hAnsi="仿宋_GB2312" w:eastAsia="仿宋_GB2312" w:cs="仿宋_GB2312"/>
          <w:sz w:val="32"/>
          <w:szCs w:val="32"/>
        </w:rPr>
        <w:t>万元，支出总计</w:t>
      </w:r>
      <w:r>
        <w:rPr>
          <w:rFonts w:hint="eastAsia" w:ascii="Arial" w:hAnsi="Arial" w:eastAsia="仿宋_GB2312" w:cs="Arial"/>
          <w:sz w:val="32"/>
          <w:szCs w:val="32"/>
          <w:lang w:val="en-US" w:eastAsia="zh-CN"/>
        </w:rPr>
        <w:t>1928.72</w:t>
      </w:r>
      <w:r>
        <w:rPr>
          <w:rFonts w:hint="eastAsia" w:ascii="仿宋_GB2312" w:hAnsi="仿宋_GB2312" w:eastAsia="仿宋_GB2312" w:cs="仿宋_GB2312"/>
          <w:sz w:val="32"/>
          <w:szCs w:val="32"/>
        </w:rPr>
        <w:t>万元，与201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年相比，收、支总计各</w:t>
      </w:r>
      <w:r>
        <w:rPr>
          <w:rFonts w:hint="eastAsia" w:ascii="仿宋_GB2312" w:hAnsi="仿宋_GB2312" w:eastAsia="仿宋_GB2312" w:cs="仿宋_GB2312"/>
          <w:sz w:val="32"/>
          <w:szCs w:val="32"/>
          <w:lang w:eastAsia="zh-CN"/>
        </w:rPr>
        <w:t>减少</w:t>
      </w:r>
      <w:r>
        <w:rPr>
          <w:rFonts w:hint="eastAsia" w:ascii="Arial" w:hAnsi="Arial" w:eastAsia="仿宋_GB2312" w:cs="Arial"/>
          <w:sz w:val="32"/>
          <w:szCs w:val="32"/>
          <w:lang w:val="en-US" w:eastAsia="zh-CN"/>
        </w:rPr>
        <w:t>114.62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5.61</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预算项目支出减少</w:t>
      </w:r>
      <w:r>
        <w:rPr>
          <w:rFonts w:hint="eastAsia" w:ascii="仿宋_GB2312" w:hAnsi="仿宋_GB2312" w:eastAsia="仿宋_GB2312" w:cs="仿宋_GB2312"/>
          <w:sz w:val="32"/>
          <w:szCs w:val="32"/>
        </w:rPr>
        <w:t>，主要体现</w:t>
      </w:r>
      <w:r>
        <w:rPr>
          <w:rFonts w:hint="eastAsia" w:ascii="仿宋_GB2312" w:hAnsi="仿宋_GB2312" w:eastAsia="仿宋_GB2312" w:cs="仿宋_GB2312"/>
          <w:sz w:val="32"/>
          <w:szCs w:val="32"/>
          <w:lang w:eastAsia="zh-CN"/>
        </w:rPr>
        <w:t>在城乡社区环境卫生农村环境保洁人员工资改为其他单位预算项目</w:t>
      </w:r>
      <w:r>
        <w:rPr>
          <w:rFonts w:hint="eastAsia" w:ascii="Arial" w:hAnsi="Arial" w:eastAsia="仿宋_GB2312" w:cs="Arial"/>
          <w:sz w:val="32"/>
          <w:szCs w:val="32"/>
        </w:rPr>
        <w:t xml:space="preserve">。  </w:t>
      </w:r>
    </w:p>
    <w:p>
      <w:pPr>
        <w:adjustRightInd w:val="0"/>
        <w:snapToGrid w:val="0"/>
        <w:spacing w:line="360" w:lineRule="auto"/>
        <w:ind w:firstLine="624" w:firstLineChars="200"/>
        <w:rPr>
          <w:rFonts w:hint="eastAsia" w:ascii="黑体" w:hAnsi="黑体" w:eastAsia="黑体" w:cs="黑体"/>
          <w:sz w:val="32"/>
          <w:szCs w:val="32"/>
        </w:rPr>
      </w:pPr>
      <w:r>
        <w:rPr>
          <w:rFonts w:hint="eastAsia" w:ascii="黑体" w:hAnsi="黑体" w:eastAsia="黑体" w:cs="黑体"/>
          <w:sz w:val="32"/>
          <w:szCs w:val="32"/>
        </w:rPr>
        <w:t>二、收入预算总体情况说明</w:t>
      </w:r>
    </w:p>
    <w:p>
      <w:pPr>
        <w:widowControl/>
        <w:shd w:val="clear" w:color="auto" w:fill="FFFFFF"/>
        <w:spacing w:line="560" w:lineRule="atLeast"/>
        <w:ind w:firstLine="640"/>
        <w:jc w:val="left"/>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区卫生计生委部门201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年收入合计</w:t>
      </w:r>
      <w:r>
        <w:rPr>
          <w:rFonts w:hint="eastAsia" w:ascii="Arial" w:hAnsi="Arial" w:eastAsia="仿宋_GB2312" w:cs="Arial"/>
          <w:sz w:val="32"/>
          <w:szCs w:val="32"/>
          <w:lang w:val="en-US" w:eastAsia="zh-CN"/>
        </w:rPr>
        <w:t>1928.72</w:t>
      </w:r>
      <w:r>
        <w:rPr>
          <w:rFonts w:hint="eastAsia" w:ascii="仿宋_GB2312" w:hAnsi="仿宋_GB2312" w:eastAsia="仿宋_GB2312" w:cs="仿宋_GB2312"/>
          <w:sz w:val="32"/>
          <w:szCs w:val="32"/>
        </w:rPr>
        <w:t>万元，其中：一般公共预算收入</w:t>
      </w:r>
      <w:r>
        <w:rPr>
          <w:rFonts w:hint="eastAsia" w:ascii="Arial" w:hAnsi="Arial" w:eastAsia="仿宋_GB2312" w:cs="Arial"/>
          <w:sz w:val="32"/>
          <w:szCs w:val="32"/>
          <w:lang w:val="en-US" w:eastAsia="zh-CN"/>
        </w:rPr>
        <w:t>1928.72</w:t>
      </w:r>
      <w:r>
        <w:rPr>
          <w:rFonts w:hint="eastAsia" w:ascii="仿宋_GB2312" w:hAnsi="仿宋_GB2312" w:eastAsia="仿宋_GB2312" w:cs="仿宋_GB2312"/>
          <w:sz w:val="32"/>
          <w:szCs w:val="32"/>
        </w:rPr>
        <w:t>万元; 政府性基金预算收入</w:t>
      </w:r>
      <w:r>
        <w:rPr>
          <w:rFonts w:hint="eastAsia" w:ascii="Arial" w:hAnsi="Arial" w:eastAsia="仿宋_GB2312" w:cs="Arial"/>
          <w:sz w:val="32"/>
          <w:szCs w:val="32"/>
        </w:rPr>
        <w:t>0</w:t>
      </w:r>
      <w:r>
        <w:rPr>
          <w:rFonts w:hint="eastAsia" w:ascii="仿宋_GB2312" w:hAnsi="仿宋_GB2312" w:eastAsia="仿宋_GB2312" w:cs="仿宋_GB2312"/>
          <w:sz w:val="32"/>
          <w:szCs w:val="32"/>
        </w:rPr>
        <w:t>万元；国有资本经营预算收入</w:t>
      </w:r>
      <w:r>
        <w:rPr>
          <w:rFonts w:hint="eastAsia" w:ascii="Arial" w:hAnsi="Arial" w:eastAsia="仿宋_GB2312" w:cs="Arial"/>
          <w:sz w:val="32"/>
          <w:szCs w:val="32"/>
        </w:rPr>
        <w:t>0万元；其他收入0万元。</w:t>
      </w:r>
      <w:r>
        <w:rPr>
          <w:rFonts w:hint="eastAsia" w:ascii="仿宋_GB2312" w:hAnsi="仿宋_GB2312" w:eastAsia="仿宋_GB2312" w:cs="仿宋_GB2312"/>
          <w:color w:val="FF0000"/>
          <w:sz w:val="32"/>
          <w:szCs w:val="32"/>
        </w:rPr>
        <w:t xml:space="preserve"> </w:t>
      </w:r>
    </w:p>
    <w:p>
      <w:pPr>
        <w:adjustRightInd w:val="0"/>
        <w:snapToGrid w:val="0"/>
        <w:spacing w:line="360" w:lineRule="auto"/>
        <w:ind w:firstLine="624" w:firstLineChars="200"/>
        <w:rPr>
          <w:rFonts w:hint="eastAsia" w:ascii="黑体" w:hAnsi="黑体" w:eastAsia="黑体" w:cs="黑体"/>
          <w:sz w:val="32"/>
          <w:szCs w:val="32"/>
        </w:rPr>
      </w:pPr>
      <w:r>
        <w:rPr>
          <w:rFonts w:hint="eastAsia" w:ascii="黑体" w:hAnsi="黑体" w:eastAsia="黑体" w:cs="黑体"/>
          <w:sz w:val="32"/>
          <w:szCs w:val="32"/>
        </w:rPr>
        <w:t>三、支出预算总体情况说明</w:t>
      </w:r>
    </w:p>
    <w:p>
      <w:pPr>
        <w:spacing w:line="560" w:lineRule="exact"/>
        <w:ind w:firstLine="624"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示范区卫生计生委201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年支出合计</w:t>
      </w:r>
      <w:r>
        <w:rPr>
          <w:rFonts w:hint="eastAsia" w:ascii="Arial" w:hAnsi="Arial" w:eastAsia="仿宋_GB2312" w:cs="Arial"/>
          <w:sz w:val="32"/>
          <w:szCs w:val="32"/>
          <w:lang w:val="en-US" w:eastAsia="zh-CN"/>
        </w:rPr>
        <w:t>1928.72</w:t>
      </w:r>
      <w:r>
        <w:rPr>
          <w:rFonts w:hint="eastAsia" w:ascii="仿宋_GB2312" w:hAnsi="仿宋_GB2312" w:eastAsia="仿宋_GB2312" w:cs="仿宋_GB2312"/>
          <w:sz w:val="32"/>
          <w:szCs w:val="32"/>
        </w:rPr>
        <w:t>万元，其中：基本支出</w:t>
      </w:r>
      <w:r>
        <w:rPr>
          <w:rFonts w:hint="eastAsia" w:ascii="Arial" w:hAnsi="Arial" w:eastAsia="仿宋_GB2312" w:cs="Arial"/>
          <w:sz w:val="32"/>
          <w:szCs w:val="32"/>
          <w:lang w:val="en-US" w:eastAsia="zh-CN"/>
        </w:rPr>
        <w:t>29.68</w:t>
      </w:r>
      <w:r>
        <w:rPr>
          <w:rFonts w:hint="eastAsia" w:ascii="仿宋_GB2312" w:hAnsi="仿宋_GB2312" w:eastAsia="仿宋_GB2312" w:cs="仿宋_GB2312"/>
          <w:sz w:val="32"/>
          <w:szCs w:val="32"/>
        </w:rPr>
        <w:t>万元，占</w:t>
      </w:r>
      <w:r>
        <w:rPr>
          <w:rFonts w:hint="eastAsia" w:ascii="Arial" w:hAnsi="Arial" w:eastAsia="仿宋_GB2312" w:cs="Arial"/>
          <w:sz w:val="32"/>
          <w:szCs w:val="32"/>
          <w:lang w:val="en-US" w:eastAsia="zh-CN"/>
        </w:rPr>
        <w:t>1.54</w:t>
      </w:r>
      <w:r>
        <w:rPr>
          <w:rFonts w:hint="eastAsia" w:ascii="Arial" w:hAnsi="Arial" w:eastAsia="仿宋_GB2312" w:cs="Arial"/>
          <w:sz w:val="32"/>
          <w:szCs w:val="32"/>
        </w:rPr>
        <w:t>%</w:t>
      </w:r>
      <w:r>
        <w:rPr>
          <w:rFonts w:hint="eastAsia" w:ascii="仿宋_GB2312" w:hAnsi="仿宋_GB2312" w:eastAsia="仿宋_GB2312" w:cs="仿宋_GB2312"/>
          <w:sz w:val="32"/>
          <w:szCs w:val="32"/>
        </w:rPr>
        <w:t>；项目支出</w:t>
      </w:r>
      <w:r>
        <w:rPr>
          <w:rFonts w:hint="eastAsia" w:ascii="Arial" w:hAnsi="Arial" w:eastAsia="仿宋_GB2312" w:cs="Arial"/>
          <w:sz w:val="32"/>
          <w:szCs w:val="32"/>
          <w:lang w:val="en-US" w:eastAsia="zh-CN"/>
        </w:rPr>
        <w:t>1899.04</w:t>
      </w:r>
      <w:r>
        <w:rPr>
          <w:rFonts w:hint="eastAsia" w:ascii="仿宋_GB2312" w:hAnsi="仿宋_GB2312" w:eastAsia="仿宋_GB2312" w:cs="仿宋_GB2312"/>
          <w:sz w:val="32"/>
          <w:szCs w:val="32"/>
        </w:rPr>
        <w:t>万元，占</w:t>
      </w:r>
      <w:r>
        <w:rPr>
          <w:rFonts w:hint="eastAsia" w:ascii="Arial" w:hAnsi="Arial" w:eastAsia="仿宋_GB2312" w:cs="Arial"/>
          <w:sz w:val="32"/>
          <w:szCs w:val="32"/>
        </w:rPr>
        <w:t>98.</w:t>
      </w:r>
      <w:r>
        <w:rPr>
          <w:rFonts w:hint="eastAsia" w:ascii="Arial" w:hAnsi="Arial" w:eastAsia="仿宋_GB2312" w:cs="Arial"/>
          <w:sz w:val="32"/>
          <w:szCs w:val="32"/>
          <w:lang w:val="en-US" w:eastAsia="zh-CN"/>
        </w:rPr>
        <w:t>46</w:t>
      </w:r>
      <w:r>
        <w:rPr>
          <w:rFonts w:hint="eastAsia" w:ascii="仿宋_GB2312" w:hAnsi="仿宋_GB2312" w:eastAsia="仿宋_GB2312" w:cs="仿宋_GB2312"/>
          <w:sz w:val="32"/>
          <w:szCs w:val="32"/>
        </w:rPr>
        <w:t>%。</w:t>
      </w:r>
      <w:r>
        <w:rPr>
          <w:rFonts w:hint="eastAsia" w:ascii="仿宋_GB2312" w:hAnsi="仿宋_GB2312" w:eastAsia="仿宋_GB2312" w:cs="仿宋_GB2312"/>
          <w:color w:val="FF0000"/>
          <w:sz w:val="32"/>
          <w:szCs w:val="32"/>
        </w:rPr>
        <w:t xml:space="preserve"> </w:t>
      </w:r>
    </w:p>
    <w:p>
      <w:pPr>
        <w:adjustRightInd w:val="0"/>
        <w:snapToGrid w:val="0"/>
        <w:spacing w:line="360" w:lineRule="auto"/>
        <w:ind w:firstLine="624" w:firstLineChars="200"/>
        <w:rPr>
          <w:rFonts w:hint="eastAsia" w:ascii="黑体" w:hAnsi="黑体" w:eastAsia="黑体" w:cs="黑体"/>
          <w:sz w:val="32"/>
          <w:szCs w:val="32"/>
        </w:rPr>
      </w:pPr>
      <w:r>
        <w:rPr>
          <w:rFonts w:hint="eastAsia" w:ascii="黑体" w:hAnsi="黑体" w:eastAsia="黑体" w:cs="黑体"/>
          <w:sz w:val="32"/>
          <w:szCs w:val="32"/>
        </w:rPr>
        <w:t>四、财政拨款收入支出预算总体情况说明</w:t>
      </w:r>
    </w:p>
    <w:p>
      <w:pPr>
        <w:spacing w:line="560" w:lineRule="exact"/>
        <w:ind w:firstLine="624"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示范区卫生计生委201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年一般公共预算收支预算</w:t>
      </w:r>
      <w:r>
        <w:rPr>
          <w:rFonts w:hint="eastAsia" w:ascii="Arial" w:hAnsi="Arial" w:eastAsia="仿宋_GB2312" w:cs="Arial"/>
          <w:sz w:val="32"/>
          <w:szCs w:val="32"/>
          <w:lang w:val="en-US" w:eastAsia="zh-CN"/>
        </w:rPr>
        <w:t>1928.72</w:t>
      </w:r>
      <w:r>
        <w:rPr>
          <w:rFonts w:hint="eastAsia" w:ascii="仿宋_GB2312" w:hAnsi="仿宋_GB2312" w:eastAsia="仿宋_GB2312" w:cs="仿宋_GB2312"/>
          <w:sz w:val="32"/>
          <w:szCs w:val="32"/>
        </w:rPr>
        <w:t>万元。政府性基金收支预算</w:t>
      </w:r>
      <w:r>
        <w:rPr>
          <w:rFonts w:hint="eastAsia" w:ascii="Arial" w:hAnsi="Arial" w:eastAsia="仿宋_GB2312" w:cs="Arial"/>
          <w:sz w:val="32"/>
          <w:szCs w:val="32"/>
        </w:rPr>
        <w:t>0万元，</w:t>
      </w:r>
      <w:r>
        <w:rPr>
          <w:rFonts w:hint="eastAsia" w:ascii="仿宋_GB2312" w:hAnsi="仿宋_GB2312" w:eastAsia="仿宋_GB2312" w:cs="仿宋_GB2312"/>
          <w:sz w:val="32"/>
          <w:szCs w:val="32"/>
        </w:rPr>
        <w:t>与 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年相比，一般公共预算收支预算</w:t>
      </w:r>
      <w:r>
        <w:rPr>
          <w:rFonts w:hint="eastAsia" w:ascii="仿宋_GB2312" w:hAnsi="仿宋_GB2312" w:eastAsia="仿宋_GB2312" w:cs="仿宋_GB2312"/>
          <w:sz w:val="32"/>
          <w:szCs w:val="32"/>
          <w:lang w:eastAsia="zh-CN"/>
        </w:rPr>
        <w:t>减少</w:t>
      </w:r>
      <w:r>
        <w:rPr>
          <w:rFonts w:hint="eastAsia" w:ascii="Arial" w:hAnsi="Arial" w:eastAsia="仿宋_GB2312" w:cs="Arial"/>
          <w:sz w:val="32"/>
          <w:szCs w:val="32"/>
          <w:lang w:val="en-US" w:eastAsia="zh-CN"/>
        </w:rPr>
        <w:t>114.62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5.61</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预算项目支出减少</w:t>
      </w:r>
      <w:r>
        <w:rPr>
          <w:rFonts w:hint="eastAsia" w:ascii="仿宋_GB2312" w:hAnsi="仿宋_GB2312" w:eastAsia="仿宋_GB2312" w:cs="仿宋_GB2312"/>
          <w:sz w:val="32"/>
          <w:szCs w:val="32"/>
        </w:rPr>
        <w:t>，主要体现</w:t>
      </w:r>
      <w:r>
        <w:rPr>
          <w:rFonts w:hint="eastAsia" w:ascii="仿宋_GB2312" w:hAnsi="仿宋_GB2312" w:eastAsia="仿宋_GB2312" w:cs="仿宋_GB2312"/>
          <w:sz w:val="32"/>
          <w:szCs w:val="32"/>
          <w:lang w:eastAsia="zh-CN"/>
        </w:rPr>
        <w:t>在城乡社区环境卫生农村环境保洁人员工资改为其他单位预算项目</w:t>
      </w:r>
      <w:r>
        <w:rPr>
          <w:rFonts w:hint="eastAsia" w:ascii="Arial" w:hAnsi="Arial" w:eastAsia="仿宋_GB2312" w:cs="Arial"/>
          <w:sz w:val="32"/>
          <w:szCs w:val="32"/>
        </w:rPr>
        <w:t>；</w:t>
      </w:r>
      <w:r>
        <w:rPr>
          <w:rFonts w:hint="eastAsia" w:ascii="Arial" w:hAnsi="Arial" w:eastAsia="仿宋_GB2312" w:cs="Arial"/>
          <w:sz w:val="32"/>
          <w:szCs w:val="32"/>
          <w:lang w:eastAsia="zh-CN"/>
        </w:rPr>
        <w:t>无</w:t>
      </w:r>
      <w:r>
        <w:rPr>
          <w:rFonts w:hint="eastAsia" w:ascii="仿宋_GB2312" w:hAnsi="仿宋_GB2312" w:eastAsia="仿宋_GB2312" w:cs="仿宋_GB2312"/>
          <w:sz w:val="32"/>
          <w:szCs w:val="32"/>
        </w:rPr>
        <w:t>政府性基金</w:t>
      </w:r>
      <w:r>
        <w:rPr>
          <w:rFonts w:hint="eastAsia" w:ascii="仿宋_GB2312" w:hAnsi="仿宋_GB2312" w:eastAsia="仿宋_GB2312" w:cs="仿宋_GB2312"/>
          <w:sz w:val="32"/>
          <w:szCs w:val="32"/>
          <w:lang w:eastAsia="zh-CN"/>
        </w:rPr>
        <w:t>预算。</w:t>
      </w:r>
    </w:p>
    <w:p>
      <w:pPr>
        <w:numPr>
          <w:ilvl w:val="0"/>
          <w:numId w:val="1"/>
        </w:numPr>
        <w:adjustRightInd w:val="0"/>
        <w:snapToGrid w:val="0"/>
        <w:spacing w:line="360" w:lineRule="auto"/>
        <w:ind w:firstLine="624" w:firstLineChars="200"/>
        <w:rPr>
          <w:rFonts w:hint="eastAsia" w:ascii="黑体" w:hAnsi="黑体" w:eastAsia="黑体" w:cs="黑体"/>
          <w:sz w:val="32"/>
          <w:szCs w:val="32"/>
        </w:rPr>
      </w:pPr>
      <w:r>
        <w:rPr>
          <w:rFonts w:hint="eastAsia" w:ascii="黑体" w:hAnsi="黑体" w:eastAsia="黑体" w:cs="黑体"/>
          <w:sz w:val="32"/>
          <w:szCs w:val="32"/>
        </w:rPr>
        <w:t>一般公共预算支出预算情况说明</w:t>
      </w:r>
    </w:p>
    <w:p>
      <w:pPr>
        <w:numPr>
          <w:numId w:val="0"/>
        </w:numPr>
        <w:adjustRightInd w:val="0"/>
        <w:snapToGrid w:val="0"/>
        <w:spacing w:line="360" w:lineRule="auto"/>
        <w:rPr>
          <w:rFonts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示范区卫生计生委201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年一般公共预算支出年初预算为</w:t>
      </w:r>
      <w:r>
        <w:rPr>
          <w:rFonts w:hint="eastAsia" w:ascii="Arial" w:hAnsi="Arial" w:eastAsia="仿宋_GB2312" w:cs="Arial"/>
          <w:sz w:val="32"/>
          <w:szCs w:val="32"/>
          <w:lang w:val="en-US" w:eastAsia="zh-CN"/>
        </w:rPr>
        <w:t>1928.72</w:t>
      </w:r>
      <w:r>
        <w:rPr>
          <w:rFonts w:hint="eastAsia" w:ascii="仿宋_GB2312" w:hAnsi="仿宋_GB2312" w:eastAsia="仿宋_GB2312" w:cs="仿宋_GB2312"/>
          <w:sz w:val="32"/>
          <w:szCs w:val="32"/>
        </w:rPr>
        <w:t>万元。主要用于以下方面：社会保障和就业支出</w:t>
      </w:r>
      <w:r>
        <w:rPr>
          <w:rFonts w:hint="eastAsia" w:ascii="仿宋_GB2312" w:hAnsi="仿宋_GB2312" w:eastAsia="仿宋_GB2312" w:cs="仿宋_GB2312"/>
          <w:sz w:val="32"/>
          <w:szCs w:val="32"/>
          <w:lang w:val="en-US" w:eastAsia="zh-CN"/>
        </w:rPr>
        <w:t>2.89万元，占0.15%；</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支出</w:t>
      </w:r>
      <w:r>
        <w:rPr>
          <w:rFonts w:hint="eastAsia" w:ascii="Arial" w:hAnsi="Arial" w:eastAsia="仿宋_GB2312" w:cs="Arial"/>
          <w:sz w:val="32"/>
          <w:szCs w:val="32"/>
          <w:lang w:val="en-US" w:eastAsia="zh-CN"/>
        </w:rPr>
        <w:t>1821.97</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94.47</w:t>
      </w:r>
      <w:r>
        <w:rPr>
          <w:rFonts w:hint="eastAsia" w:ascii="仿宋_GB2312" w:hAnsi="仿宋_GB2312" w:eastAsia="仿宋_GB2312" w:cs="仿宋_GB2312"/>
          <w:kern w:val="0"/>
          <w:sz w:val="32"/>
          <w:szCs w:val="32"/>
        </w:rPr>
        <w:t>%；城乡社区支出</w:t>
      </w:r>
      <w:r>
        <w:rPr>
          <w:rFonts w:hint="eastAsia" w:ascii="Arial" w:hAnsi="Arial" w:eastAsia="仿宋_GB2312" w:cs="Arial"/>
          <w:sz w:val="32"/>
          <w:szCs w:val="32"/>
          <w:lang w:val="en-US" w:eastAsia="zh-CN"/>
        </w:rPr>
        <w:t>102</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5.29</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；住房保障支出</w:t>
      </w:r>
      <w:r>
        <w:rPr>
          <w:rFonts w:hint="eastAsia" w:ascii="仿宋_GB2312" w:hAnsi="仿宋_GB2312" w:eastAsia="仿宋_GB2312" w:cs="仿宋_GB2312"/>
          <w:kern w:val="0"/>
          <w:sz w:val="32"/>
          <w:szCs w:val="32"/>
          <w:lang w:val="en-US" w:eastAsia="zh-CN"/>
        </w:rPr>
        <w:t>1.86万元，占0.09%</w:t>
      </w:r>
      <w:r>
        <w:rPr>
          <w:rFonts w:hint="eastAsia" w:ascii="仿宋_GB2312" w:hAnsi="仿宋_GB2312" w:eastAsia="仿宋_GB2312" w:cs="仿宋_GB2312"/>
          <w:kern w:val="0"/>
          <w:sz w:val="32"/>
          <w:szCs w:val="32"/>
        </w:rPr>
        <w:t>。</w:t>
      </w:r>
    </w:p>
    <w:p>
      <w:pPr>
        <w:spacing w:line="560" w:lineRule="exact"/>
        <w:ind w:firstLine="624" w:firstLineChars="200"/>
        <w:outlineLvl w:val="0"/>
        <w:rPr>
          <w:rFonts w:hint="eastAsia" w:ascii="黑体" w:hAnsi="黑体" w:eastAsia="黑体" w:cs="黑体"/>
          <w:sz w:val="32"/>
          <w:szCs w:val="32"/>
        </w:rPr>
      </w:pPr>
      <w:r>
        <w:rPr>
          <w:rFonts w:hint="eastAsia" w:ascii="黑体" w:hAnsi="黑体" w:eastAsia="黑体" w:cs="黑体"/>
          <w:kern w:val="0"/>
          <w:sz w:val="32"/>
          <w:szCs w:val="32"/>
        </w:rPr>
        <w:t>六、一般公共预算基本支出预算情况说明</w:t>
      </w:r>
    </w:p>
    <w:p>
      <w:pPr>
        <w:widowControl/>
        <w:ind w:firstLine="622"/>
        <w:jc w:val="left"/>
        <w:rPr>
          <w:rFonts w:ascii="仿宋_GB2312" w:hAnsi="仿宋_GB2312" w:eastAsia="仿宋_GB2312" w:cs="仿宋_GB2312"/>
          <w:color w:val="FF0000"/>
          <w:kern w:val="0"/>
          <w:sz w:val="32"/>
          <w:szCs w:val="32"/>
        </w:rPr>
      </w:pPr>
      <w:r>
        <w:rPr>
          <w:rFonts w:hint="eastAsia" w:ascii="仿宋_GB2312" w:hAnsi="仿宋_GB2312" w:eastAsia="仿宋_GB2312" w:cs="仿宋_GB2312"/>
          <w:sz w:val="32"/>
          <w:szCs w:val="32"/>
        </w:rPr>
        <w:t>示范区卫生计生委201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年一般公共预算基本支出</w:t>
      </w:r>
      <w:r>
        <w:rPr>
          <w:rFonts w:hint="eastAsia" w:ascii="仿宋_GB2312" w:hAnsi="仿宋_GB2312" w:eastAsia="仿宋_GB2312" w:cs="仿宋_GB2312"/>
          <w:kern w:val="0"/>
          <w:sz w:val="32"/>
          <w:szCs w:val="32"/>
          <w:lang w:val="en-US" w:eastAsia="zh-CN"/>
        </w:rPr>
        <w:t>29.68</w:t>
      </w:r>
      <w:r>
        <w:rPr>
          <w:rFonts w:hint="eastAsia" w:ascii="仿宋_GB2312" w:hAnsi="仿宋_GB2312" w:eastAsia="仿宋_GB2312" w:cs="仿宋_GB2312"/>
          <w:sz w:val="32"/>
          <w:szCs w:val="32"/>
        </w:rPr>
        <w:t>万元，其中：</w:t>
      </w:r>
      <w:r>
        <w:rPr>
          <w:rFonts w:hint="eastAsia" w:ascii="仿宋_GB2312" w:hAnsi="仿宋_GB2312" w:eastAsia="仿宋_GB2312" w:cs="仿宋_GB2312"/>
          <w:b/>
          <w:spacing w:val="-1"/>
          <w:kern w:val="0"/>
          <w:sz w:val="32"/>
          <w:szCs w:val="32"/>
        </w:rPr>
        <w:t>人员经费</w:t>
      </w:r>
      <w:r>
        <w:rPr>
          <w:rFonts w:hint="eastAsia" w:ascii="仿宋_GB2312" w:hAnsi="仿宋_GB2312" w:eastAsia="仿宋_GB2312" w:cs="仿宋_GB2312"/>
          <w:b/>
          <w:kern w:val="0"/>
          <w:sz w:val="32"/>
          <w:szCs w:val="32"/>
          <w:lang w:val="en-US" w:eastAsia="zh-CN"/>
        </w:rPr>
        <w:t>27.34</w:t>
      </w:r>
      <w:r>
        <w:rPr>
          <w:rFonts w:hint="eastAsia" w:ascii="仿宋_GB2312" w:hAnsi="仿宋_GB2312" w:eastAsia="仿宋_GB2312" w:cs="仿宋_GB2312"/>
          <w:b/>
          <w:sz w:val="32"/>
          <w:szCs w:val="32"/>
        </w:rPr>
        <w:t>万元</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eastAsia="zh-CN"/>
        </w:rPr>
        <w:t>主要包括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基本工资、津贴补贴、奖金、机关事业单位基本养老保险缴费、职业年金缴费、医疗保险缴费、其他社会保障缴费、住房公积金、其他工资福利支出、离休费、退休费、其他对个人和家庭的补助支出；</w:t>
      </w:r>
      <w:r>
        <w:rPr>
          <w:rFonts w:hint="eastAsia" w:ascii="仿宋_GB2312" w:hAnsi="仿宋_GB2312" w:eastAsia="仿宋_GB2312" w:cs="仿宋_GB2312"/>
          <w:b/>
          <w:bCs/>
          <w:kern w:val="0"/>
          <w:sz w:val="32"/>
          <w:szCs w:val="32"/>
        </w:rPr>
        <w:t>公用经费</w:t>
      </w:r>
      <w:r>
        <w:rPr>
          <w:rFonts w:hint="eastAsia" w:ascii="仿宋_GB2312" w:hAnsi="仿宋_GB2312" w:eastAsia="仿宋_GB2312" w:cs="仿宋_GB2312"/>
          <w:b/>
          <w:bCs/>
          <w:kern w:val="0"/>
          <w:sz w:val="32"/>
          <w:szCs w:val="32"/>
          <w:lang w:val="en-US" w:eastAsia="zh-CN"/>
        </w:rPr>
        <w:t>2.34</w:t>
      </w:r>
      <w:r>
        <w:rPr>
          <w:rFonts w:hint="eastAsia" w:ascii="仿宋_GB2312" w:hAnsi="仿宋_GB2312" w:eastAsia="仿宋_GB2312" w:cs="仿宋_GB2312"/>
          <w:b/>
          <w:bCs/>
          <w:kern w:val="0"/>
          <w:sz w:val="32"/>
          <w:szCs w:val="32"/>
        </w:rPr>
        <w:t>万元</w:t>
      </w:r>
      <w:r>
        <w:rPr>
          <w:rFonts w:hint="eastAsia" w:ascii="仿宋_GB2312" w:hAnsi="仿宋_GB2312" w:eastAsia="仿宋_GB2312" w:cs="仿宋_GB2312"/>
          <w:kern w:val="0"/>
          <w:sz w:val="32"/>
          <w:szCs w:val="32"/>
        </w:rPr>
        <w:t>，</w:t>
      </w:r>
      <w:r>
        <w:rPr>
          <w:rFonts w:hint="eastAsia" w:ascii="仿宋_GB2312" w:hAnsi="仿宋_GB2312" w:eastAsia="仿宋_GB2312" w:cs="仿宋_GB2312"/>
          <w:b/>
          <w:bCs/>
          <w:kern w:val="0"/>
          <w:sz w:val="32"/>
          <w:szCs w:val="32"/>
        </w:rPr>
        <w:t>主要包括：</w:t>
      </w:r>
      <w:r>
        <w:rPr>
          <w:rFonts w:hint="eastAsia" w:ascii="仿宋_GB2312" w:hAnsi="仿宋_GB2312" w:eastAsia="仿宋_GB2312" w:cs="仿宋_GB2312"/>
          <w:kern w:val="0"/>
          <w:sz w:val="32"/>
          <w:szCs w:val="32"/>
        </w:rPr>
        <w:t>办公费、水费、电费、邮电费、差旅费、公务接待费、福利费、其他交通费用。</w:t>
      </w:r>
    </w:p>
    <w:p>
      <w:pPr>
        <w:spacing w:line="560" w:lineRule="exact"/>
        <w:ind w:firstLine="624" w:firstLineChars="200"/>
        <w:outlineLvl w:val="0"/>
        <w:rPr>
          <w:rFonts w:hint="eastAsia" w:ascii="黑体" w:hAnsi="黑体" w:eastAsia="黑体" w:cs="黑体"/>
          <w:sz w:val="32"/>
          <w:szCs w:val="32"/>
        </w:rPr>
      </w:pPr>
      <w:r>
        <w:rPr>
          <w:rFonts w:hint="eastAsia" w:ascii="黑体" w:hAnsi="黑体" w:eastAsia="黑体" w:cs="黑体"/>
          <w:kern w:val="0"/>
          <w:sz w:val="32"/>
          <w:szCs w:val="32"/>
        </w:rPr>
        <w:t>七、政府性基金预算支出预算情况说明</w:t>
      </w:r>
    </w:p>
    <w:p>
      <w:pPr>
        <w:spacing w:line="56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年没有使用政府性基金预算拨款安排的支出。</w:t>
      </w:r>
    </w:p>
    <w:p>
      <w:pPr>
        <w:spacing w:line="560" w:lineRule="exact"/>
        <w:ind w:firstLine="624" w:firstLineChars="200"/>
        <w:rPr>
          <w:rFonts w:hint="eastAsia" w:ascii="黑体" w:hAnsi="黑体" w:eastAsia="黑体" w:cs="黑体"/>
          <w:kern w:val="0"/>
          <w:sz w:val="32"/>
          <w:szCs w:val="32"/>
        </w:rPr>
      </w:pPr>
      <w:r>
        <w:rPr>
          <w:rFonts w:hint="eastAsia" w:ascii="黑体" w:hAnsi="黑体" w:eastAsia="黑体" w:cs="黑体"/>
          <w:sz w:val="32"/>
          <w:szCs w:val="32"/>
        </w:rPr>
        <w:t>八、</w:t>
      </w:r>
      <w:r>
        <w:rPr>
          <w:rFonts w:hint="eastAsia" w:ascii="黑体" w:hAnsi="黑体" w:eastAsia="黑体" w:cs="黑体"/>
          <w:kern w:val="0"/>
          <w:sz w:val="32"/>
          <w:szCs w:val="32"/>
        </w:rPr>
        <w:t>国有资本经营预算支出预算情况说明</w:t>
      </w:r>
    </w:p>
    <w:p>
      <w:pPr>
        <w:spacing w:line="56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年没有使用国有资本经营预算拨款安排的支出。</w:t>
      </w:r>
    </w:p>
    <w:p>
      <w:pPr>
        <w:spacing w:line="560" w:lineRule="exact"/>
        <w:ind w:firstLine="624" w:firstLineChars="200"/>
        <w:outlineLvl w:val="0"/>
        <w:rPr>
          <w:rFonts w:hint="eastAsia" w:ascii="黑体" w:hAnsi="黑体" w:eastAsia="黑体" w:cs="黑体"/>
          <w:sz w:val="32"/>
          <w:szCs w:val="32"/>
        </w:rPr>
      </w:pPr>
      <w:r>
        <w:rPr>
          <w:rFonts w:hint="eastAsia" w:ascii="黑体" w:hAnsi="黑体" w:eastAsia="黑体" w:cs="黑体"/>
          <w:kern w:val="0"/>
          <w:sz w:val="32"/>
          <w:szCs w:val="32"/>
        </w:rPr>
        <w:t>九、“三公”经费支出预算情况说明</w:t>
      </w:r>
    </w:p>
    <w:p>
      <w:pPr>
        <w:widowControl/>
        <w:ind w:firstLine="624"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示范区卫生计生委201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 xml:space="preserve"> 年“三公”经费预算为</w:t>
      </w:r>
      <w:r>
        <w:rPr>
          <w:rFonts w:hint="eastAsia" w:ascii="仿宋_GB2312" w:hAnsi="仿宋_GB2312" w:eastAsia="仿宋_GB2312" w:cs="仿宋_GB2312"/>
          <w:kern w:val="0"/>
          <w:sz w:val="32"/>
          <w:szCs w:val="32"/>
        </w:rPr>
        <w:t>0.6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比 2018年预算数减少（增加）</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sz w:val="32"/>
          <w:szCs w:val="32"/>
        </w:rPr>
        <w:t>万元，下降（增长）</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 xml:space="preserve"> 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年预算数</w:t>
      </w:r>
      <w:r>
        <w:rPr>
          <w:rFonts w:hint="eastAsia" w:ascii="仿宋_GB2312" w:hAnsi="仿宋_GB2312" w:eastAsia="仿宋_GB2312" w:cs="仿宋_GB2312"/>
          <w:sz w:val="32"/>
          <w:szCs w:val="32"/>
          <w:lang w:eastAsia="zh-CN"/>
        </w:rPr>
        <w:t>持平</w:t>
      </w:r>
      <w:r>
        <w:rPr>
          <w:rFonts w:hint="eastAsia" w:ascii="仿宋_GB2312" w:hAnsi="仿宋_GB2312" w:eastAsia="仿宋_GB2312" w:cs="仿宋_GB2312"/>
          <w:sz w:val="32"/>
          <w:szCs w:val="32"/>
        </w:rPr>
        <w:t>。</w:t>
      </w:r>
    </w:p>
    <w:p>
      <w:pPr>
        <w:kinsoku w:val="0"/>
        <w:overflowPunct w:val="0"/>
        <w:autoSpaceDE w:val="0"/>
        <w:autoSpaceDN w:val="0"/>
        <w:adjustRightInd w:val="0"/>
        <w:snapToGrid w:val="0"/>
        <w:spacing w:line="360" w:lineRule="auto"/>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具体支出情况如下：</w:t>
      </w:r>
    </w:p>
    <w:p>
      <w:pPr>
        <w:numPr>
          <w:ilvl w:val="0"/>
          <w:numId w:val="2"/>
        </w:numPr>
        <w:kinsoku w:val="0"/>
        <w:overflowPunct w:val="0"/>
        <w:autoSpaceDE w:val="0"/>
        <w:autoSpaceDN w:val="0"/>
        <w:adjustRightInd w:val="0"/>
        <w:snapToGrid w:val="0"/>
        <w:spacing w:line="360" w:lineRule="auto"/>
        <w:ind w:firstLine="620" w:firstLineChars="200"/>
        <w:rPr>
          <w:rFonts w:ascii="仿宋_GB2312" w:hAnsi="仿宋_GB2312" w:eastAsia="仿宋_GB2312" w:cs="仿宋_GB2312"/>
          <w:sz w:val="32"/>
          <w:szCs w:val="32"/>
        </w:rPr>
      </w:pPr>
      <w:r>
        <w:rPr>
          <w:rFonts w:hint="eastAsia" w:ascii="仿宋_GB2312" w:hAnsi="仿宋_GB2312" w:eastAsia="仿宋_GB2312" w:cs="仿宋_GB2312"/>
          <w:b/>
          <w:spacing w:val="-1"/>
          <w:kern w:val="0"/>
          <w:sz w:val="32"/>
          <w:szCs w:val="32"/>
        </w:rPr>
        <w:t>因公出国（境）费</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lang w:val="en-US" w:eastAsia="zh-CN"/>
        </w:rPr>
        <w:t>2018年</w:t>
      </w:r>
      <w:r>
        <w:rPr>
          <w:rFonts w:hint="eastAsia" w:ascii="仿宋_GB2312" w:hAnsi="仿宋_GB2312" w:eastAsia="仿宋_GB2312" w:cs="仿宋_GB2312"/>
          <w:sz w:val="32"/>
          <w:szCs w:val="32"/>
        </w:rPr>
        <w:t>预算数</w:t>
      </w:r>
      <w:r>
        <w:rPr>
          <w:rFonts w:hint="eastAsia" w:ascii="仿宋_GB2312" w:hAnsi="仿宋_GB2312" w:eastAsia="仿宋_GB2312" w:cs="仿宋_GB2312"/>
          <w:sz w:val="32"/>
          <w:szCs w:val="32"/>
          <w:lang w:val="en-US" w:eastAsia="zh-CN"/>
        </w:rPr>
        <w:t>持平。</w:t>
      </w:r>
    </w:p>
    <w:p>
      <w:pPr>
        <w:numPr>
          <w:ilvl w:val="0"/>
          <w:numId w:val="2"/>
        </w:numPr>
        <w:kinsoku w:val="0"/>
        <w:overflowPunct w:val="0"/>
        <w:autoSpaceDE w:val="0"/>
        <w:autoSpaceDN w:val="0"/>
        <w:adjustRightInd w:val="0"/>
        <w:snapToGrid w:val="0"/>
        <w:spacing w:line="580" w:lineRule="exact"/>
        <w:ind w:firstLine="618" w:firstLineChars="200"/>
        <w:rPr>
          <w:rFonts w:ascii="仿宋_GB2312" w:hAnsi="仿宋_GB2312" w:eastAsia="仿宋_GB2312" w:cs="仿宋_GB2312"/>
          <w:sz w:val="32"/>
          <w:szCs w:val="32"/>
        </w:rPr>
      </w:pPr>
      <w:r>
        <w:rPr>
          <w:rFonts w:hint="eastAsia" w:ascii="仿宋_GB2312" w:hAnsi="仿宋_GB2312" w:eastAsia="仿宋_GB2312" w:cs="仿宋_GB2312"/>
          <w:b/>
          <w:spacing w:val="-1"/>
          <w:kern w:val="0"/>
          <w:sz w:val="32"/>
          <w:szCs w:val="32"/>
        </w:rPr>
        <w:t>公务用车购置及运行费</w:t>
      </w:r>
      <w:r>
        <w:rPr>
          <w:rFonts w:hint="eastAsia" w:ascii="仿宋_GB2312" w:hAnsi="仿宋_GB2312" w:eastAsia="仿宋_GB2312" w:cs="仿宋_GB2312"/>
          <w:kern w:val="0"/>
          <w:sz w:val="32"/>
          <w:szCs w:val="32"/>
        </w:rPr>
        <w:t>0万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其中公务车辆购置费</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sz w:val="32"/>
          <w:szCs w:val="32"/>
        </w:rPr>
        <w:t>万元，主要用于</w:t>
      </w:r>
      <w:r>
        <w:rPr>
          <w:rFonts w:hint="eastAsia" w:ascii="仿宋_GB2312" w:hAnsi="仿宋_GB2312" w:eastAsia="仿宋_GB2312" w:cs="仿宋_GB2312"/>
          <w:color w:val="000000"/>
          <w:kern w:val="0"/>
          <w:sz w:val="32"/>
          <w:szCs w:val="32"/>
          <w:lang w:eastAsia="zh-CN"/>
        </w:rPr>
        <w:t>无公务用车</w:t>
      </w:r>
      <w:r>
        <w:rPr>
          <w:rFonts w:hint="eastAsia" w:ascii="仿宋_GB2312" w:hAnsi="仿宋_GB2312" w:eastAsia="仿宋_GB2312" w:cs="仿宋_GB2312"/>
          <w:color w:val="000000"/>
          <w:sz w:val="32"/>
          <w:szCs w:val="32"/>
        </w:rPr>
        <w:t>,比2018年减少（增减）</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万元，较上年下降（增长）</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%，主要原因</w:t>
      </w:r>
      <w:r>
        <w:rPr>
          <w:rFonts w:hint="eastAsia" w:ascii="仿宋_GB2312" w:hAnsi="仿宋_GB2312" w:eastAsia="仿宋_GB2312" w:cs="仿宋_GB2312"/>
          <w:color w:val="000000"/>
          <w:kern w:val="0"/>
          <w:sz w:val="32"/>
          <w:szCs w:val="32"/>
          <w:lang w:eastAsia="zh-CN"/>
        </w:rPr>
        <w:t>无公务用车</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rPr>
        <w:t>公务用车运行维护费</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sz w:val="32"/>
          <w:szCs w:val="32"/>
        </w:rPr>
        <w:t>，主要用于</w:t>
      </w:r>
      <w:r>
        <w:rPr>
          <w:rFonts w:hint="eastAsia" w:ascii="仿宋_GB2312" w:hAnsi="仿宋_GB2312" w:eastAsia="仿宋_GB2312" w:cs="仿宋_GB2312"/>
          <w:color w:val="000000"/>
          <w:kern w:val="0"/>
          <w:sz w:val="32"/>
          <w:szCs w:val="32"/>
          <w:lang w:eastAsia="zh-CN"/>
        </w:rPr>
        <w:t>无公务用车</w:t>
      </w:r>
      <w:r>
        <w:rPr>
          <w:rFonts w:hint="eastAsia" w:ascii="仿宋_GB2312" w:hAnsi="仿宋_GB2312" w:eastAsia="仿宋_GB2312" w:cs="仿宋_GB2312"/>
          <w:color w:val="000000"/>
          <w:sz w:val="32"/>
          <w:szCs w:val="32"/>
        </w:rPr>
        <w:t>,比2018年减少（增减）</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万元，较上年下降（增长）</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%，主要原因：</w:t>
      </w:r>
      <w:r>
        <w:rPr>
          <w:rFonts w:hint="eastAsia" w:ascii="仿宋_GB2312" w:hAnsi="仿宋_GB2312" w:eastAsia="仿宋_GB2312" w:cs="仿宋_GB2312"/>
          <w:color w:val="000000"/>
          <w:kern w:val="0"/>
          <w:sz w:val="32"/>
          <w:szCs w:val="32"/>
          <w:lang w:eastAsia="zh-CN"/>
        </w:rPr>
        <w:t>无公务用车，</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lang w:val="en-US" w:eastAsia="zh-CN"/>
        </w:rPr>
        <w:t>2018年</w:t>
      </w:r>
      <w:r>
        <w:rPr>
          <w:rFonts w:hint="eastAsia" w:ascii="仿宋_GB2312" w:hAnsi="仿宋_GB2312" w:eastAsia="仿宋_GB2312" w:cs="仿宋_GB2312"/>
          <w:sz w:val="32"/>
          <w:szCs w:val="32"/>
        </w:rPr>
        <w:t>预算数</w:t>
      </w:r>
      <w:r>
        <w:rPr>
          <w:rFonts w:hint="eastAsia" w:ascii="仿宋_GB2312" w:hAnsi="仿宋_GB2312" w:eastAsia="仿宋_GB2312" w:cs="仿宋_GB2312"/>
          <w:sz w:val="32"/>
          <w:szCs w:val="32"/>
          <w:lang w:val="en-US" w:eastAsia="zh-CN"/>
        </w:rPr>
        <w:t>持平。</w:t>
      </w:r>
    </w:p>
    <w:p>
      <w:pPr>
        <w:spacing w:line="560" w:lineRule="exact"/>
        <w:ind w:firstLine="620" w:firstLineChars="200"/>
        <w:outlineLvl w:val="0"/>
        <w:rPr>
          <w:rFonts w:ascii="仿宋_GB2312" w:hAnsi="仿宋_GB2312" w:eastAsia="仿宋_GB2312" w:cs="仿宋_GB2312"/>
          <w:sz w:val="32"/>
          <w:szCs w:val="32"/>
        </w:rPr>
      </w:pPr>
      <w:r>
        <w:rPr>
          <w:rFonts w:hint="eastAsia" w:ascii="仿宋_GB2312" w:hAnsi="仿宋_GB2312" w:eastAsia="仿宋_GB2312" w:cs="仿宋_GB2312"/>
          <w:b/>
          <w:spacing w:val="-1"/>
          <w:kern w:val="0"/>
          <w:sz w:val="32"/>
          <w:szCs w:val="32"/>
        </w:rPr>
        <w:t>（三）公务接待费</w:t>
      </w:r>
      <w:r>
        <w:rPr>
          <w:rFonts w:hint="eastAsia" w:ascii="仿宋_GB2312" w:hAnsi="仿宋_GB2312" w:eastAsia="仿宋_GB2312" w:cs="仿宋_GB2312"/>
          <w:kern w:val="0"/>
          <w:sz w:val="32"/>
          <w:szCs w:val="32"/>
        </w:rPr>
        <w:t>0.6</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kern w:val="0"/>
          <w:sz w:val="32"/>
          <w:szCs w:val="32"/>
        </w:rPr>
        <w:t>加班餐费，接待来访人员，</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 xml:space="preserve"> 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年预算数</w:t>
      </w:r>
      <w:r>
        <w:rPr>
          <w:rFonts w:hint="eastAsia" w:ascii="仿宋_GB2312" w:hAnsi="仿宋_GB2312" w:eastAsia="仿宋_GB2312" w:cs="仿宋_GB2312"/>
          <w:sz w:val="32"/>
          <w:szCs w:val="32"/>
          <w:lang w:eastAsia="zh-CN"/>
        </w:rPr>
        <w:t>持平</w:t>
      </w:r>
      <w:r>
        <w:rPr>
          <w:rFonts w:hint="eastAsia" w:ascii="仿宋_GB2312" w:hAnsi="仿宋_GB2312" w:eastAsia="仿宋_GB2312" w:cs="仿宋_GB2312"/>
          <w:sz w:val="32"/>
          <w:szCs w:val="32"/>
        </w:rPr>
        <w:t>。</w:t>
      </w:r>
    </w:p>
    <w:p>
      <w:pPr>
        <w:kinsoku w:val="0"/>
        <w:overflowPunct w:val="0"/>
        <w:autoSpaceDE w:val="0"/>
        <w:autoSpaceDN w:val="0"/>
        <w:adjustRightInd w:val="0"/>
        <w:snapToGrid w:val="0"/>
        <w:spacing w:line="360" w:lineRule="auto"/>
        <w:ind w:firstLine="624" w:firstLineChars="200"/>
        <w:outlineLvl w:val="0"/>
        <w:rPr>
          <w:rFonts w:hint="eastAsia" w:ascii="仿宋_GB2312" w:hAnsi="仿宋_GB2312" w:eastAsia="仿宋_GB2312" w:cs="仿宋_GB2312"/>
          <w:spacing w:val="-1"/>
          <w:kern w:val="0"/>
          <w:sz w:val="32"/>
          <w:szCs w:val="32"/>
          <w:lang w:val="en-US" w:eastAsia="zh-CN"/>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pacing w:val="-1"/>
          <w:kern w:val="0"/>
          <w:sz w:val="32"/>
          <w:szCs w:val="32"/>
        </w:rPr>
        <w:t>十、其他重要事项的情况说明</w:t>
      </w:r>
    </w:p>
    <w:p>
      <w:pPr>
        <w:kinsoku w:val="0"/>
        <w:overflowPunct w:val="0"/>
        <w:autoSpaceDE w:val="0"/>
        <w:autoSpaceDN w:val="0"/>
        <w:adjustRightInd w:val="0"/>
        <w:snapToGrid w:val="0"/>
        <w:spacing w:line="360" w:lineRule="auto"/>
        <w:ind w:firstLine="624" w:firstLineChars="200"/>
        <w:outlineLvl w:val="0"/>
        <w:rPr>
          <w:rFonts w:ascii="仿宋_GB2312" w:hAnsi="仿宋_GB2312" w:eastAsia="仿宋_GB2312" w:cs="仿宋_GB2312"/>
          <w:sz w:val="32"/>
          <w:szCs w:val="32"/>
        </w:rPr>
      </w:pPr>
      <w:r>
        <w:rPr>
          <w:rFonts w:hint="eastAsia" w:ascii="仿宋_GB2312" w:hAnsi="仿宋_GB2312" w:eastAsia="仿宋_GB2312" w:cs="仿宋_GB2312"/>
          <w:b/>
          <w:kern w:val="0"/>
          <w:sz w:val="32"/>
          <w:szCs w:val="32"/>
        </w:rPr>
        <w:t>（一）机关运行经费支出情况</w:t>
      </w:r>
    </w:p>
    <w:p>
      <w:pPr>
        <w:spacing w:line="560" w:lineRule="exact"/>
        <w:ind w:firstLine="624"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示范区卫生计生委201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年机关运行经费支出预算</w:t>
      </w:r>
      <w:r>
        <w:rPr>
          <w:rFonts w:hint="eastAsia" w:ascii="仿宋_GB2312" w:hAnsi="仿宋_GB2312" w:eastAsia="仿宋_GB2312" w:cs="仿宋_GB2312"/>
          <w:kern w:val="0"/>
          <w:sz w:val="32"/>
          <w:szCs w:val="32"/>
          <w:lang w:val="en-US" w:eastAsia="zh-CN"/>
        </w:rPr>
        <w:t>2.34</w:t>
      </w:r>
      <w:r>
        <w:rPr>
          <w:rFonts w:hint="eastAsia" w:ascii="仿宋_GB2312" w:hAnsi="仿宋_GB2312" w:eastAsia="仿宋_GB2312" w:cs="仿宋_GB2312"/>
          <w:sz w:val="32"/>
          <w:szCs w:val="32"/>
        </w:rPr>
        <w:t>万元，主要保障机关机构正常运转及正常履职需要的办公费、水电费、物业费、维修费、差旅费等支出，</w:t>
      </w:r>
      <w:r>
        <w:rPr>
          <w:rFonts w:hint="eastAsia" w:ascii="仿宋_GB2312" w:hAnsi="仿宋_GB2312" w:eastAsia="仿宋_GB2312" w:cs="仿宋_GB2312"/>
          <w:color w:val="auto"/>
          <w:sz w:val="32"/>
          <w:szCs w:val="32"/>
        </w:rPr>
        <w:t>比201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年减少</w:t>
      </w:r>
      <w:r>
        <w:rPr>
          <w:rFonts w:hint="eastAsia" w:ascii="仿宋_GB2312" w:hAnsi="仿宋_GB2312" w:eastAsia="仿宋_GB2312" w:cs="仿宋_GB2312"/>
          <w:color w:val="auto"/>
          <w:kern w:val="0"/>
          <w:sz w:val="32"/>
          <w:szCs w:val="32"/>
        </w:rPr>
        <w:t>0.4</w:t>
      </w: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val="en-US" w:eastAsia="zh-CN"/>
        </w:rPr>
        <w:t xml:space="preserve"> 下降16.73%。</w:t>
      </w:r>
      <w:r>
        <w:rPr>
          <w:rFonts w:hint="eastAsia" w:ascii="仿宋_GB2312" w:hAnsi="仿宋_GB2312" w:eastAsia="仿宋_GB2312" w:cs="仿宋_GB2312"/>
          <w:kern w:val="0"/>
          <w:sz w:val="32"/>
          <w:szCs w:val="32"/>
        </w:rPr>
        <w:t>主要原因：</w:t>
      </w:r>
      <w:r>
        <w:rPr>
          <w:rFonts w:hint="eastAsia" w:ascii="仿宋_GB2312" w:hAnsi="仿宋_GB2312" w:eastAsia="仿宋_GB2312" w:cs="仿宋_GB2312"/>
          <w:kern w:val="0"/>
          <w:sz w:val="32"/>
          <w:szCs w:val="32"/>
          <w:lang w:eastAsia="zh-CN"/>
        </w:rPr>
        <w:t>深入贯彻中央“八项规定”精神等工作要求，大力缩减“三公”经费。</w:t>
      </w:r>
    </w:p>
    <w:p>
      <w:pPr>
        <w:kinsoku w:val="0"/>
        <w:overflowPunct w:val="0"/>
        <w:autoSpaceDE w:val="0"/>
        <w:autoSpaceDN w:val="0"/>
        <w:adjustRightInd w:val="0"/>
        <w:snapToGrid w:val="0"/>
        <w:spacing w:line="360" w:lineRule="auto"/>
        <w:ind w:firstLine="624" w:firstLineChars="200"/>
        <w:outlineLvl w:val="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（二）政府采购支出情况</w:t>
      </w:r>
    </w:p>
    <w:p>
      <w:pPr>
        <w:kinsoku w:val="0"/>
        <w:overflowPunct w:val="0"/>
        <w:autoSpaceDE w:val="0"/>
        <w:autoSpaceDN w:val="0"/>
        <w:adjustRightInd w:val="0"/>
        <w:snapToGrid w:val="0"/>
        <w:spacing w:line="360" w:lineRule="auto"/>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年政府采购预算安排</w:t>
      </w:r>
      <w:r>
        <w:rPr>
          <w:rFonts w:hint="eastAsia" w:ascii="仿宋_GB2312" w:hAnsi="仿宋_GB2312" w:eastAsia="仿宋_GB2312" w:cs="仿宋_GB2312"/>
          <w:kern w:val="0"/>
          <w:sz w:val="32"/>
          <w:szCs w:val="32"/>
          <w:lang w:val="en-US" w:eastAsia="zh-CN"/>
        </w:rPr>
        <w:t>727.4</w:t>
      </w:r>
      <w:r>
        <w:rPr>
          <w:rFonts w:hint="eastAsia" w:ascii="仿宋_GB2312" w:hAnsi="仿宋_GB2312" w:eastAsia="仿宋_GB2312" w:cs="仿宋_GB2312"/>
          <w:sz w:val="32"/>
          <w:szCs w:val="32"/>
        </w:rPr>
        <w:t>万元，其中：</w:t>
      </w:r>
      <w:r>
        <w:rPr>
          <w:rFonts w:hint="eastAsia" w:ascii="仿宋_GB2312" w:hAnsi="仿宋_GB2312" w:eastAsia="仿宋_GB2312" w:cs="仿宋_GB2312"/>
          <w:kern w:val="0"/>
          <w:sz w:val="32"/>
          <w:szCs w:val="32"/>
        </w:rPr>
        <w:t>政府采购货物预算</w:t>
      </w:r>
      <w:r>
        <w:rPr>
          <w:rFonts w:hint="eastAsia" w:ascii="仿宋_GB2312" w:hAnsi="仿宋_GB2312" w:eastAsia="仿宋_GB2312" w:cs="仿宋_GB2312"/>
          <w:kern w:val="0"/>
          <w:sz w:val="32"/>
          <w:szCs w:val="32"/>
          <w:lang w:val="en-US" w:eastAsia="zh-CN"/>
        </w:rPr>
        <w:t>497.4</w:t>
      </w:r>
      <w:r>
        <w:rPr>
          <w:rFonts w:hint="eastAsia" w:ascii="仿宋_GB2312" w:hAnsi="仿宋_GB2312" w:eastAsia="仿宋_GB2312" w:cs="仿宋_GB2312"/>
          <w:kern w:val="0"/>
          <w:sz w:val="32"/>
          <w:szCs w:val="32"/>
        </w:rPr>
        <w:t>万元、政府采购工程预算</w:t>
      </w:r>
      <w:r>
        <w:rPr>
          <w:rFonts w:hint="eastAsia" w:ascii="仿宋_GB2312" w:hAnsi="仿宋_GB2312" w:eastAsia="仿宋_GB2312" w:cs="仿宋_GB2312"/>
          <w:kern w:val="0"/>
          <w:sz w:val="32"/>
          <w:szCs w:val="32"/>
          <w:lang w:val="en-US" w:eastAsia="zh-CN"/>
        </w:rPr>
        <w:t>230</w:t>
      </w:r>
      <w:r>
        <w:rPr>
          <w:rFonts w:hint="eastAsia" w:ascii="仿宋_GB2312" w:hAnsi="仿宋_GB2312" w:eastAsia="仿宋_GB2312" w:cs="仿宋_GB2312"/>
          <w:kern w:val="0"/>
          <w:sz w:val="32"/>
          <w:szCs w:val="32"/>
        </w:rPr>
        <w:t>万元、政府采购服务预算0万元。</w:t>
      </w:r>
    </w:p>
    <w:p>
      <w:pPr>
        <w:kinsoku w:val="0"/>
        <w:overflowPunct w:val="0"/>
        <w:autoSpaceDE w:val="0"/>
        <w:autoSpaceDN w:val="0"/>
        <w:adjustRightInd w:val="0"/>
        <w:snapToGrid w:val="0"/>
        <w:spacing w:line="360" w:lineRule="auto"/>
        <w:ind w:firstLine="624" w:firstLineChars="200"/>
        <w:outlineLvl w:val="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（三）关于预算绩效管理工作开展情况说明</w:t>
      </w:r>
    </w:p>
    <w:p>
      <w:pPr>
        <w:ind w:firstLine="624"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年,我部门对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个项目进行了预算绩效评价，涉及资金</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r>
        <w:rPr>
          <w:rFonts w:hint="eastAsia"/>
          <w:color w:val="auto"/>
          <w:sz w:val="28"/>
          <w:szCs w:val="28"/>
        </w:rPr>
        <w:t xml:space="preserve"> </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年，我部门纳入预算绩效管理的支出总额为</w:t>
      </w:r>
      <w:r>
        <w:rPr>
          <w:rFonts w:hint="eastAsia" w:ascii="宋体" w:hAnsi="宋体" w:cs="宋体"/>
          <w:kern w:val="0"/>
          <w:sz w:val="24"/>
          <w:szCs w:val="24"/>
        </w:rPr>
        <w:t xml:space="preserve"> </w:t>
      </w:r>
      <w:r>
        <w:rPr>
          <w:rFonts w:hint="eastAsia" w:ascii="仿宋_GB2312" w:hAnsi="仿宋_GB2312" w:eastAsia="仿宋_GB2312" w:cs="仿宋_GB2312"/>
          <w:kern w:val="0"/>
          <w:sz w:val="32"/>
          <w:szCs w:val="32"/>
          <w:lang w:val="en-US" w:eastAsia="zh-CN"/>
        </w:rPr>
        <w:t>1928.72</w:t>
      </w:r>
      <w:r>
        <w:rPr>
          <w:rFonts w:hint="eastAsia" w:ascii="仿宋_GB2312" w:hAnsi="仿宋_GB2312" w:eastAsia="仿宋_GB2312" w:cs="仿宋_GB2312"/>
          <w:sz w:val="32"/>
          <w:szCs w:val="32"/>
        </w:rPr>
        <w:t>万元，其中人员经费支出</w:t>
      </w:r>
      <w:r>
        <w:rPr>
          <w:rFonts w:hint="eastAsia" w:ascii="仿宋_GB2312" w:hAnsi="仿宋_GB2312" w:eastAsia="仿宋_GB2312" w:cs="仿宋_GB2312"/>
          <w:sz w:val="32"/>
          <w:szCs w:val="32"/>
          <w:lang w:val="en-US" w:eastAsia="zh-CN"/>
        </w:rPr>
        <w:t>27.34</w:t>
      </w:r>
      <w:r>
        <w:rPr>
          <w:rFonts w:hint="eastAsia" w:ascii="仿宋_GB2312" w:hAnsi="仿宋_GB2312" w:eastAsia="仿宋_GB2312" w:cs="仿宋_GB2312"/>
          <w:sz w:val="32"/>
          <w:szCs w:val="32"/>
        </w:rPr>
        <w:t>万元，公用经费支出</w:t>
      </w:r>
      <w:r>
        <w:rPr>
          <w:rFonts w:hint="eastAsia" w:ascii="仿宋_GB2312" w:hAnsi="仿宋_GB2312" w:eastAsia="仿宋_GB2312" w:cs="仿宋_GB2312"/>
          <w:kern w:val="0"/>
          <w:sz w:val="32"/>
          <w:szCs w:val="32"/>
          <w:lang w:val="en-US" w:eastAsia="zh-CN"/>
        </w:rPr>
        <w:t>2.34</w:t>
      </w:r>
      <w:r>
        <w:rPr>
          <w:rFonts w:hint="eastAsia" w:ascii="仿宋_GB2312" w:hAnsi="仿宋_GB2312" w:eastAsia="仿宋_GB2312" w:cs="仿宋_GB2312"/>
          <w:sz w:val="32"/>
          <w:szCs w:val="32"/>
        </w:rPr>
        <w:t>万元，支出项目共</w:t>
      </w:r>
      <w:r>
        <w:rPr>
          <w:rFonts w:hint="eastAsia" w:ascii="仿宋_GB2312" w:hAnsi="仿宋_GB2312" w:eastAsia="仿宋_GB2312" w:cs="仿宋_GB2312"/>
          <w:kern w:val="0"/>
          <w:sz w:val="32"/>
          <w:szCs w:val="32"/>
          <w:lang w:val="en-US" w:eastAsia="zh-CN"/>
        </w:rPr>
        <w:t>43</w:t>
      </w:r>
      <w:r>
        <w:rPr>
          <w:rFonts w:hint="eastAsia" w:ascii="仿宋_GB2312" w:hAnsi="仿宋_GB2312" w:eastAsia="仿宋_GB2312" w:cs="仿宋_GB2312"/>
          <w:sz w:val="32"/>
          <w:szCs w:val="32"/>
        </w:rPr>
        <w:t>个，支出总额</w:t>
      </w:r>
      <w:r>
        <w:rPr>
          <w:rFonts w:hint="eastAsia" w:ascii="仿宋_GB2312" w:hAnsi="仿宋_GB2312" w:eastAsia="仿宋_GB2312" w:cs="仿宋_GB2312"/>
          <w:kern w:val="0"/>
          <w:sz w:val="32"/>
          <w:szCs w:val="32"/>
          <w:lang w:val="en-US" w:eastAsia="zh-CN"/>
        </w:rPr>
        <w:t>1899.04</w:t>
      </w:r>
      <w:r>
        <w:rPr>
          <w:rFonts w:hint="eastAsia" w:ascii="仿宋_GB2312" w:hAnsi="仿宋_GB2312" w:eastAsia="仿宋_GB2312" w:cs="仿宋_GB2312"/>
          <w:sz w:val="32"/>
          <w:szCs w:val="32"/>
        </w:rPr>
        <w:t>万元，其中预算支出100万元及100万元以上项目</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sz w:val="32"/>
          <w:szCs w:val="32"/>
        </w:rPr>
        <w:t>个，支出总额</w:t>
      </w:r>
      <w:r>
        <w:rPr>
          <w:rFonts w:hint="eastAsia" w:ascii="仿宋_GB2312" w:hAnsi="仿宋_GB2312" w:eastAsia="仿宋_GB2312" w:cs="仿宋_GB2312"/>
          <w:kern w:val="0"/>
          <w:sz w:val="32"/>
          <w:szCs w:val="32"/>
          <w:lang w:val="en-US" w:eastAsia="zh-CN"/>
        </w:rPr>
        <w:t>1366.4</w:t>
      </w:r>
      <w:r>
        <w:rPr>
          <w:rFonts w:hint="eastAsia" w:ascii="仿宋_GB2312" w:hAnsi="仿宋_GB2312" w:eastAsia="仿宋_GB2312" w:cs="仿宋_GB2312"/>
          <w:sz w:val="32"/>
          <w:szCs w:val="32"/>
        </w:rPr>
        <w:t xml:space="preserve">万元。 </w:t>
      </w:r>
    </w:p>
    <w:p>
      <w:pPr>
        <w:ind w:left="404" w:left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（四）国有资产占用情况</w:t>
      </w:r>
    </w:p>
    <w:p>
      <w:pPr>
        <w:kinsoku w:val="0"/>
        <w:overflowPunct w:val="0"/>
        <w:autoSpaceDE w:val="0"/>
        <w:autoSpaceDN w:val="0"/>
        <w:adjustRightInd w:val="0"/>
        <w:snapToGrid w:val="0"/>
        <w:spacing w:line="360" w:lineRule="auto"/>
        <w:ind w:firstLine="624"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年期末，示范区卫生计生委固定资产总额</w:t>
      </w:r>
      <w:r>
        <w:rPr>
          <w:rFonts w:hint="eastAsia" w:ascii="仿宋_GB2312" w:hAnsi="仿宋_GB2312" w:eastAsia="仿宋_GB2312" w:cs="仿宋_GB2312"/>
          <w:kern w:val="0"/>
          <w:sz w:val="32"/>
          <w:szCs w:val="32"/>
          <w:lang w:val="en-US" w:eastAsia="zh-CN"/>
        </w:rPr>
        <w:t>50.62</w:t>
      </w:r>
      <w:r>
        <w:rPr>
          <w:rFonts w:hint="eastAsia" w:ascii="仿宋_GB2312" w:hAnsi="仿宋_GB2312" w:eastAsia="仿宋_GB2312" w:cs="仿宋_GB2312"/>
          <w:kern w:val="0"/>
          <w:sz w:val="32"/>
          <w:szCs w:val="32"/>
        </w:rPr>
        <w:t>万元，其中，房屋建筑物0万元，车辆27.09万元</w:t>
      </w:r>
      <w:r>
        <w:rPr>
          <w:rFonts w:hint="eastAsia" w:ascii="仿宋_GB2312" w:hAnsi="仿宋_GB2312" w:eastAsia="仿宋_GB2312" w:cs="仿宋_GB2312"/>
          <w:kern w:val="0"/>
          <w:sz w:val="32"/>
          <w:szCs w:val="32"/>
          <w:lang w:eastAsia="zh-CN"/>
        </w:rPr>
        <w:t>，</w:t>
      </w:r>
      <w:r>
        <w:rPr>
          <w:rFonts w:hint="eastAsia" w:ascii="仿宋_GB2312" w:hAnsi="宋体" w:eastAsia="仿宋_GB2312" w:cs="仿宋_GB2312"/>
          <w:sz w:val="32"/>
          <w:szCs w:val="32"/>
          <w:lang w:eastAsia="zh-CN"/>
        </w:rPr>
        <w:t>性别比软件</w:t>
      </w:r>
      <w:r>
        <w:rPr>
          <w:rFonts w:hint="eastAsia" w:ascii="仿宋_GB2312" w:hAnsi="宋体" w:eastAsia="仿宋_GB2312" w:cs="仿宋_GB2312"/>
          <w:sz w:val="32"/>
          <w:szCs w:val="32"/>
          <w:lang w:val="en-US" w:eastAsia="zh-CN"/>
        </w:rPr>
        <w:t>3.5万元，湖山投影设备1.4万元，三星复印机0.95万元</w:t>
      </w:r>
      <w:r>
        <w:rPr>
          <w:rFonts w:hint="eastAsia" w:ascii="仿宋_GB2312" w:hAnsi="仿宋_GB2312" w:eastAsia="仿宋_GB2312" w:cs="仿宋_GB2312"/>
          <w:kern w:val="0"/>
          <w:sz w:val="32"/>
          <w:szCs w:val="32"/>
        </w:rPr>
        <w:t>。共有车辆2辆，其中：一般公务用车0辆，执法执勤车0辆，示范区卫计委固定资产有车的原因是因为公车改革后车辆已收回，但国资系统和财务账没有统一处理车辆价值；</w:t>
      </w:r>
      <w:r>
        <w:rPr>
          <w:rFonts w:hint="eastAsia" w:ascii="仿宋_GB2312" w:hAnsi="仿宋_GB2312" w:eastAsia="仿宋_GB2312" w:cs="仿宋_GB2312"/>
          <w:sz w:val="32"/>
          <w:szCs w:val="32"/>
        </w:rPr>
        <w:t>单价50万元以上通用设备</w:t>
      </w:r>
      <w:r>
        <w:rPr>
          <w:rFonts w:hint="eastAsia" w:ascii="仿宋_GB2312" w:hAnsi="仿宋_GB2312" w:eastAsia="仿宋_GB2312" w:cs="仿宋_GB2312"/>
          <w:kern w:val="0"/>
          <w:sz w:val="32"/>
          <w:szCs w:val="32"/>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kern w:val="0"/>
          <w:sz w:val="32"/>
          <w:szCs w:val="32"/>
        </w:rPr>
        <w:t>0</w:t>
      </w:r>
      <w:r>
        <w:rPr>
          <w:rFonts w:hint="eastAsia" w:ascii="仿宋_GB2312" w:hAnsi="仿宋_GB2312" w:eastAsia="仿宋_GB2312" w:cs="仿宋_GB2312"/>
          <w:sz w:val="32"/>
          <w:szCs w:val="32"/>
        </w:rPr>
        <w:t>台（套）</w:t>
      </w:r>
      <w:r>
        <w:rPr>
          <w:rFonts w:hint="eastAsia" w:ascii="仿宋_GB2312" w:hAnsi="宋体" w:eastAsia="仿宋_GB2312" w:cs="仿宋_GB2312"/>
          <w:sz w:val="32"/>
          <w:szCs w:val="32"/>
          <w:lang w:val="en-US" w:eastAsia="zh-CN"/>
        </w:rPr>
        <w:t>。</w:t>
      </w:r>
    </w:p>
    <w:p>
      <w:pPr>
        <w:widowControl/>
        <w:ind w:firstLine="624" w:firstLineChars="200"/>
        <w:jc w:val="left"/>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（五）关于预算部门构成说明</w:t>
      </w:r>
    </w:p>
    <w:p>
      <w:pPr>
        <w:kinsoku w:val="0"/>
        <w:overflowPunct w:val="0"/>
        <w:autoSpaceDE w:val="0"/>
        <w:autoSpaceDN w:val="0"/>
        <w:adjustRightInd w:val="0"/>
        <w:snapToGrid w:val="0"/>
        <w:spacing w:line="360" w:lineRule="auto"/>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年我单位按照</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财政预算公开要求，将本单位预算全部纳入预算公开范围。</w:t>
      </w:r>
    </w:p>
    <w:p>
      <w:pPr>
        <w:kinsoku w:val="0"/>
        <w:overflowPunct w:val="0"/>
        <w:autoSpaceDE w:val="0"/>
        <w:autoSpaceDN w:val="0"/>
        <w:adjustRightInd w:val="0"/>
        <w:snapToGrid w:val="0"/>
        <w:spacing w:line="360" w:lineRule="auto"/>
        <w:ind w:firstLine="624" w:firstLineChars="200"/>
        <w:rPr>
          <w:rFonts w:ascii="仿宋_GB2312" w:hAnsi="仿宋_GB2312" w:eastAsia="仿宋_GB2312" w:cs="仿宋_GB2312"/>
          <w:b/>
          <w:kern w:val="0"/>
          <w:sz w:val="32"/>
          <w:szCs w:val="32"/>
        </w:rPr>
      </w:pPr>
    </w:p>
    <w:p>
      <w:pPr>
        <w:adjustRightInd w:val="0"/>
        <w:snapToGrid w:val="0"/>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第三部分 名词解释</w:t>
      </w:r>
    </w:p>
    <w:p>
      <w:pPr>
        <w:kinsoku w:val="0"/>
        <w:overflowPunct w:val="0"/>
        <w:autoSpaceDE w:val="0"/>
        <w:autoSpaceDN w:val="0"/>
        <w:adjustRightInd w:val="0"/>
        <w:snapToGrid w:val="0"/>
        <w:spacing w:line="360" w:lineRule="auto"/>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一、财政拨款收入：是指</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级财政当年拨付的资金。</w:t>
      </w:r>
    </w:p>
    <w:p>
      <w:pPr>
        <w:kinsoku w:val="0"/>
        <w:overflowPunct w:val="0"/>
        <w:autoSpaceDE w:val="0"/>
        <w:autoSpaceDN w:val="0"/>
        <w:adjustRightInd w:val="0"/>
        <w:snapToGrid w:val="0"/>
        <w:spacing w:line="360" w:lineRule="auto"/>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二、事业收入：是指事业单位开展专业活动及辅助活动所取 得的收入。</w:t>
      </w:r>
    </w:p>
    <w:p>
      <w:pPr>
        <w:kinsoku w:val="0"/>
        <w:overflowPunct w:val="0"/>
        <w:autoSpaceDE w:val="0"/>
        <w:autoSpaceDN w:val="0"/>
        <w:adjustRightInd w:val="0"/>
        <w:snapToGrid w:val="0"/>
        <w:spacing w:line="360" w:lineRule="auto"/>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三、其他收入：是指部门取得的除“财政拨款”、“事业收入”、“事业单位经营收入”等以外的收入。 </w:t>
      </w:r>
    </w:p>
    <w:p>
      <w:pPr>
        <w:kinsoku w:val="0"/>
        <w:overflowPunct w:val="0"/>
        <w:autoSpaceDE w:val="0"/>
        <w:autoSpaceDN w:val="0"/>
        <w:adjustRightInd w:val="0"/>
        <w:snapToGrid w:val="0"/>
        <w:spacing w:line="360" w:lineRule="auto"/>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四、基本支出：是指为保障机构正常运转、完成日常工作任务所必需的开支，其内容包括人员经费和日常公用经费两部分。</w:t>
      </w:r>
    </w:p>
    <w:p>
      <w:pPr>
        <w:kinsoku w:val="0"/>
        <w:overflowPunct w:val="0"/>
        <w:autoSpaceDE w:val="0"/>
        <w:autoSpaceDN w:val="0"/>
        <w:adjustRightInd w:val="0"/>
        <w:snapToGrid w:val="0"/>
        <w:spacing w:line="360" w:lineRule="auto"/>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五、项目支出：是指在基本支出之外，为完成特定的行政工作任务或事业发展目标所发生的支出。</w:t>
      </w:r>
    </w:p>
    <w:p>
      <w:pPr>
        <w:kinsoku w:val="0"/>
        <w:overflowPunct w:val="0"/>
        <w:autoSpaceDE w:val="0"/>
        <w:autoSpaceDN w:val="0"/>
        <w:adjustRightInd w:val="0"/>
        <w:snapToGrid w:val="0"/>
        <w:spacing w:line="360" w:lineRule="auto"/>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六、“三公”经费：是指纳入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24" w:firstLineChars="200"/>
        <w:rPr>
          <w:rFonts w:hint="eastAsia" w:ascii="仿宋_GB2312" w:hAnsi="仿宋_GB2312" w:eastAsia="仿宋_GB2312" w:cs="仿宋_GB2312"/>
          <w:sz w:val="32"/>
          <w:szCs w:val="32"/>
        </w:rPr>
      </w:pPr>
      <w:r>
        <w:rPr>
          <w:rFonts w:hint="eastAsia" w:ascii="仿宋_GB2312" w:hAnsi="宋体" w:eastAsia="仿宋_GB2312" w:cs="Courier New"/>
          <w:sz w:val="32"/>
          <w:szCs w:val="32"/>
        </w:rPr>
        <w:t>七、机关运行经费：是指为保障行政</w:t>
      </w:r>
      <w:r>
        <w:rPr>
          <w:rFonts w:hint="eastAsia" w:ascii="仿宋_GB2312" w:hAnsi="仿宋_GB2312" w:eastAsia="仿宋_GB2312" w:cs="仿宋_GB2312"/>
          <w:sz w:val="32"/>
          <w:szCs w:val="32"/>
        </w:rPr>
        <w:t>机构正常运转及正常履职需要的办公费、水电费、日常维修、物业费、维修费、差旅费、</w:t>
      </w:r>
      <w:r>
        <w:rPr>
          <w:rFonts w:hint="eastAsia" w:ascii="仿宋_GB2312" w:hAnsi="宋体" w:eastAsia="仿宋_GB2312" w:cs="Courier New"/>
          <w:sz w:val="32"/>
          <w:szCs w:val="32"/>
        </w:rPr>
        <w:t>公务用车运行维护费以及其他费用</w:t>
      </w:r>
      <w:r>
        <w:rPr>
          <w:rFonts w:hint="eastAsia" w:ascii="仿宋_GB2312" w:hAnsi="仿宋_GB2312" w:eastAsia="仿宋_GB2312" w:cs="仿宋_GB2312"/>
          <w:sz w:val="32"/>
          <w:szCs w:val="32"/>
        </w:rPr>
        <w:t>等支出。</w:t>
      </w:r>
    </w:p>
    <w:p>
      <w:pPr>
        <w:kinsoku w:val="0"/>
        <w:overflowPunct w:val="0"/>
        <w:autoSpaceDE w:val="0"/>
        <w:autoSpaceDN w:val="0"/>
        <w:adjustRightInd w:val="0"/>
        <w:snapToGrid w:val="0"/>
        <w:spacing w:line="580" w:lineRule="exact"/>
        <w:ind w:firstLine="622"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八、计划生育：是指为实现人口与经济、社会、资源、环境的协调发展，维护公民合法权益，促进家庭幸福、民族繁荣与社会进步而实行的一项基本国策。 </w:t>
      </w:r>
    </w:p>
    <w:p>
      <w:pPr>
        <w:kinsoku w:val="0"/>
        <w:overflowPunct w:val="0"/>
        <w:autoSpaceDE w:val="0"/>
        <w:autoSpaceDN w:val="0"/>
        <w:adjustRightInd w:val="0"/>
        <w:snapToGrid w:val="0"/>
        <w:spacing w:line="580" w:lineRule="exact"/>
        <w:ind w:firstLine="622" w:firstLineChars="200"/>
        <w:rPr>
          <w:rFonts w:hint="eastAsia" w:ascii="仿宋_GB2312" w:hAnsi="仿宋_GB2312" w:eastAsia="仿宋_GB2312" w:cs="仿宋_GB2312"/>
          <w:color w:val="000000"/>
          <w:sz w:val="32"/>
          <w:szCs w:val="32"/>
        </w:rPr>
      </w:pPr>
      <w:bookmarkStart w:id="0" w:name="_GoBack"/>
      <w:bookmarkEnd w:id="0"/>
    </w:p>
    <w:p>
      <w:pPr>
        <w:adjustRightInd w:val="0"/>
        <w:snapToGrid w:val="0"/>
        <w:spacing w:line="360" w:lineRule="auto"/>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附件：示范区卫生计生委201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年度部门预算表</w:t>
      </w:r>
    </w:p>
    <w:p>
      <w:pPr>
        <w:adjustRightInd w:val="0"/>
        <w:snapToGrid w:val="0"/>
        <w:spacing w:line="360" w:lineRule="auto"/>
        <w:ind w:firstLine="624" w:firstLineChars="200"/>
        <w:rPr>
          <w:rFonts w:ascii="仿宋_GB2312" w:hAnsi="仿宋_GB2312" w:eastAsia="仿宋_GB2312" w:cs="仿宋_GB2312"/>
          <w:sz w:val="32"/>
          <w:szCs w:val="32"/>
        </w:rPr>
      </w:pPr>
    </w:p>
    <w:p>
      <w:pPr>
        <w:adjustRightInd w:val="0"/>
        <w:snapToGrid w:val="0"/>
        <w:spacing w:line="360" w:lineRule="auto"/>
        <w:ind w:firstLine="624" w:firstLineChars="200"/>
        <w:rPr>
          <w:rFonts w:ascii="仿宋_GB2312" w:hAnsi="仿宋_GB2312" w:eastAsia="仿宋_GB2312" w:cs="仿宋_GB2312"/>
        </w:rPr>
      </w:pPr>
      <w:r>
        <w:rPr>
          <w:rFonts w:hint="eastAsia" w:ascii="仿宋_GB2312" w:hAnsi="仿宋_GB2312" w:eastAsia="仿宋_GB2312" w:cs="仿宋_GB2312"/>
          <w:sz w:val="32"/>
          <w:szCs w:val="32"/>
        </w:rPr>
        <w:t xml:space="preserve">                           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p>
    <w:sectPr>
      <w:pgSz w:w="11906" w:h="16838"/>
      <w:pgMar w:top="2154" w:right="1474" w:bottom="1757" w:left="1587" w:header="851" w:footer="992" w:gutter="0"/>
      <w:cols w:space="720" w:num="1"/>
      <w:docGrid w:type="linesAndChars" w:linePitch="312"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22539084">
    <w:nsid w:val="60B5FB4C"/>
    <w:multiLevelType w:val="singleLevel"/>
    <w:tmpl w:val="60B5FB4C"/>
    <w:lvl w:ilvl="0" w:tentative="1">
      <w:start w:val="5"/>
      <w:numFmt w:val="chineseCounting"/>
      <w:suff w:val="nothing"/>
      <w:lvlText w:val="%1、"/>
      <w:lvlJc w:val="left"/>
    </w:lvl>
  </w:abstractNum>
  <w:abstractNum w:abstractNumId="1515138474">
    <w:nsid w:val="5A4F2DAA"/>
    <w:multiLevelType w:val="singleLevel"/>
    <w:tmpl w:val="5A4F2DAA"/>
    <w:lvl w:ilvl="0" w:tentative="1">
      <w:start w:val="1"/>
      <w:numFmt w:val="chineseCounting"/>
      <w:suff w:val="nothing"/>
      <w:lvlText w:val="（%1）"/>
      <w:lvlJc w:val="left"/>
    </w:lvl>
  </w:abstractNum>
  <w:num w:numId="1">
    <w:abstractNumId w:val="1622539084"/>
  </w:num>
  <w:num w:numId="2">
    <w:abstractNumId w:val="15151384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1"/>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unhideWhenUsed/>
    <w:uiPriority w:val="1"/>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Char"/>
    <w:basedOn w:val="4"/>
    <w:link w:val="3"/>
    <w:uiPriority w:val="0"/>
    <w:rPr>
      <w:rFonts w:ascii="Calibri" w:hAnsi="Calibri" w:cs="黑体"/>
      <w:kern w:val="2"/>
      <w:sz w:val="18"/>
      <w:szCs w:val="18"/>
    </w:rPr>
  </w:style>
  <w:style w:type="character" w:customStyle="1" w:styleId="6">
    <w:name w:val="页脚 Char Char"/>
    <w:basedOn w:val="4"/>
    <w:link w:val="2"/>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659</Words>
  <Characters>3759</Characters>
  <Lines>31</Lines>
  <Paragraphs>8</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2018-01-04T09:29:00Z</dcterms:created>
  <dc:creator>Administrator</dc:creator>
  <cp:lastModifiedBy>Administrator</cp:lastModifiedBy>
  <cp:lastPrinted>2018-08-06T00:36:00Z</cp:lastPrinted>
  <dcterms:modified xsi:type="dcterms:W3CDTF">2021-06-02T09:16:36Z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