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8D" w:rsidRDefault="0072169D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C1D8D" w:rsidRDefault="007C1D8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7C1D8D" w:rsidRDefault="007C1D8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7C1D8D" w:rsidRDefault="007C1D8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7C1D8D" w:rsidRDefault="007C1D8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7C1D8D" w:rsidRDefault="007C1D8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7C1D8D" w:rsidRDefault="0072169D">
      <w:pPr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 xml:space="preserve">           </w:t>
      </w:r>
      <w:r>
        <w:rPr>
          <w:rFonts w:ascii="黑体" w:eastAsia="黑体" w:hAnsi="黑体" w:hint="eastAsia"/>
          <w:sz w:val="52"/>
          <w:szCs w:val="52"/>
        </w:rPr>
        <w:t>民政服务中心</w:t>
      </w:r>
    </w:p>
    <w:p w:rsidR="007C1D8D" w:rsidRDefault="0072169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2019</w:t>
      </w:r>
      <w:r>
        <w:rPr>
          <w:rFonts w:ascii="黑体" w:eastAsia="黑体" w:hAnsi="黑体" w:hint="eastAsia"/>
          <w:sz w:val="52"/>
          <w:szCs w:val="52"/>
        </w:rPr>
        <w:t>年度部门预算</w:t>
      </w:r>
    </w:p>
    <w:p w:rsidR="007C1D8D" w:rsidRDefault="007C1D8D">
      <w:pPr>
        <w:jc w:val="center"/>
        <w:rPr>
          <w:rFonts w:ascii="黑体" w:eastAsia="黑体" w:hAnsi="黑体"/>
          <w:sz w:val="52"/>
          <w:szCs w:val="52"/>
        </w:rPr>
      </w:pPr>
    </w:p>
    <w:p w:rsidR="007C1D8D" w:rsidRDefault="007C1D8D">
      <w:pPr>
        <w:jc w:val="center"/>
        <w:rPr>
          <w:rFonts w:ascii="黑体" w:eastAsia="黑体" w:hAnsi="黑体"/>
          <w:sz w:val="52"/>
          <w:szCs w:val="52"/>
        </w:rPr>
      </w:pPr>
    </w:p>
    <w:p w:rsidR="007C1D8D" w:rsidRDefault="007C1D8D">
      <w:pPr>
        <w:jc w:val="center"/>
        <w:rPr>
          <w:rFonts w:ascii="黑体" w:eastAsia="黑体" w:hAnsi="黑体"/>
          <w:sz w:val="52"/>
          <w:szCs w:val="52"/>
        </w:rPr>
      </w:pPr>
    </w:p>
    <w:p w:rsidR="007C1D8D" w:rsidRDefault="007C1D8D">
      <w:pPr>
        <w:jc w:val="center"/>
        <w:rPr>
          <w:rFonts w:ascii="黑体" w:eastAsia="黑体" w:hAnsi="黑体"/>
          <w:sz w:val="52"/>
          <w:szCs w:val="52"/>
        </w:rPr>
      </w:pPr>
    </w:p>
    <w:p w:rsidR="007C1D8D" w:rsidRDefault="007C1D8D">
      <w:pPr>
        <w:jc w:val="center"/>
        <w:rPr>
          <w:rFonts w:ascii="黑体" w:eastAsia="黑体" w:hAnsi="黑体"/>
          <w:sz w:val="52"/>
          <w:szCs w:val="52"/>
        </w:rPr>
      </w:pPr>
    </w:p>
    <w:p w:rsidR="007C1D8D" w:rsidRDefault="007C1D8D">
      <w:pPr>
        <w:jc w:val="center"/>
        <w:rPr>
          <w:rFonts w:ascii="黑体" w:eastAsia="黑体" w:hAnsi="黑体"/>
          <w:sz w:val="52"/>
          <w:szCs w:val="52"/>
        </w:rPr>
      </w:pPr>
    </w:p>
    <w:p w:rsidR="007C1D8D" w:rsidRDefault="0072169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年四月</w:t>
      </w:r>
    </w:p>
    <w:p w:rsidR="007C1D8D" w:rsidRDefault="007C1D8D">
      <w:pPr>
        <w:kinsoku w:val="0"/>
        <w:overflowPunct w:val="0"/>
        <w:adjustRightInd w:val="0"/>
        <w:snapToGrid w:val="0"/>
        <w:spacing w:line="360" w:lineRule="auto"/>
        <w:ind w:right="3569"/>
        <w:rPr>
          <w:rFonts w:ascii="仿宋_GB2312" w:eastAsia="仿宋_GB2312" w:hAnsi="仿宋_GB2312" w:cs="仿宋_GB2312"/>
          <w:sz w:val="32"/>
          <w:szCs w:val="32"/>
        </w:rPr>
      </w:pPr>
    </w:p>
    <w:p w:rsidR="007C1D8D" w:rsidRDefault="007C1D8D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22"/>
        <w:rPr>
          <w:rFonts w:ascii="仿宋_GB2312" w:eastAsia="仿宋_GB2312" w:hAnsi="仿宋_GB2312" w:cs="仿宋_GB2312"/>
          <w:sz w:val="32"/>
          <w:szCs w:val="32"/>
        </w:rPr>
      </w:pP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0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目</w:t>
      </w:r>
      <w:r>
        <w:rPr>
          <w:rFonts w:ascii="仿宋_GB2312" w:eastAsia="仿宋_GB2312" w:hAnsi="仿宋_GB2312" w:cs="仿宋_GB2312" w:hint="eastAsia"/>
          <w:spacing w:val="2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sz w:val="44"/>
          <w:szCs w:val="44"/>
        </w:rPr>
        <w:t>录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3569" w:firstLineChars="200" w:firstLine="625"/>
        <w:rPr>
          <w:rFonts w:ascii="仿宋_GB2312" w:eastAsia="仿宋_GB2312" w:hAnsi="仿宋_GB2312" w:cs="仿宋_GB2312"/>
          <w:w w:val="99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概况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 xml:space="preserve"> 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一、主要职能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3569" w:firstLineChars="300" w:firstLine="93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二、部门预算单位构成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21" w:firstLineChars="200" w:firstLine="62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民政服务中心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2019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年部门预算情况说明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21" w:firstLineChars="200" w:firstLine="62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名词解释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一、部门收支总体情况表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二、部门收入总体情况表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三、部门支出总体情况表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四、财政拨款收支总体情况表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五、一般公共预算支出情况表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六、一般公共预算基本支出情况表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七、一般公共预算“三公”经费支出情况表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八、政府性基金预算支出情况表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九、国有资本经营预算收支情况表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十、机关运行经费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ind w:right="51" w:firstLineChars="600" w:firstLine="186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十一、预算项目支出绩效目标表</w:t>
      </w:r>
    </w:p>
    <w:p w:rsidR="007C1D8D" w:rsidRDefault="007C1D8D">
      <w:pPr>
        <w:adjustRightInd w:val="0"/>
        <w:snapToGrid w:val="0"/>
        <w:spacing w:line="360" w:lineRule="auto"/>
        <w:ind w:firstLineChars="1200" w:firstLine="3732"/>
        <w:rPr>
          <w:rFonts w:ascii="仿宋_GB2312" w:eastAsia="仿宋_GB2312" w:hAnsi="仿宋_GB2312" w:cs="仿宋_GB2312"/>
          <w:sz w:val="32"/>
          <w:szCs w:val="32"/>
        </w:rPr>
      </w:pPr>
    </w:p>
    <w:p w:rsidR="007C1D8D" w:rsidRDefault="007C1D8D">
      <w:pPr>
        <w:adjustRightInd w:val="0"/>
        <w:snapToGrid w:val="0"/>
        <w:spacing w:line="360" w:lineRule="auto"/>
        <w:ind w:firstLineChars="1200" w:firstLine="3747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C1D8D" w:rsidRDefault="0072169D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                        </w:t>
      </w:r>
      <w:r>
        <w:rPr>
          <w:rFonts w:ascii="黑体" w:eastAsia="黑体" w:hAnsi="黑体" w:hint="eastAsia"/>
          <w:b/>
          <w:bCs/>
          <w:sz w:val="32"/>
          <w:szCs w:val="32"/>
        </w:rPr>
        <w:t>第一部分</w:t>
      </w:r>
    </w:p>
    <w:p w:rsidR="007C1D8D" w:rsidRDefault="0072169D">
      <w:pPr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民政服务中心</w:t>
      </w:r>
    </w:p>
    <w:p w:rsidR="007C1D8D" w:rsidRDefault="0072169D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22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主要职能</w:t>
      </w:r>
    </w:p>
    <w:p w:rsidR="007C1D8D" w:rsidRDefault="0072169D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right="3569" w:firstLineChars="200" w:firstLine="62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机构设置情况</w:t>
      </w:r>
    </w:p>
    <w:p w:rsidR="007C1D8D" w:rsidRDefault="0072169D">
      <w:pPr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楷体_GB2312" w:cs="楷体_GB2312" w:hint="eastAsia"/>
          <w:sz w:val="32"/>
          <w:szCs w:val="32"/>
        </w:rPr>
        <w:t>示范区民政服务中心是隶属示范区社会事业局的二级机构</w:t>
      </w:r>
      <w:r>
        <w:rPr>
          <w:rFonts w:ascii="仿宋_GB2312" w:eastAsia="仿宋_GB2312" w:hAnsi="楷体_GB2312" w:cs="楷体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是副科级事业单位，</w:t>
      </w:r>
      <w:r>
        <w:rPr>
          <w:rFonts w:ascii="仿宋_GB2312" w:eastAsia="仿宋_GB2312" w:hAnsi="楷体_GB2312" w:cs="楷体_GB2312" w:hint="eastAsia"/>
          <w:sz w:val="32"/>
          <w:szCs w:val="32"/>
        </w:rPr>
        <w:t>经费财政全供。</w:t>
      </w:r>
    </w:p>
    <w:p w:rsidR="007C1D8D" w:rsidRDefault="0072169D">
      <w:pPr>
        <w:numPr>
          <w:ilvl w:val="0"/>
          <w:numId w:val="3"/>
        </w:numPr>
        <w:kinsoku w:val="0"/>
        <w:overflowPunct w:val="0"/>
        <w:adjustRightInd w:val="0"/>
        <w:snapToGrid w:val="0"/>
        <w:spacing w:line="360" w:lineRule="auto"/>
        <w:ind w:right="3569" w:firstLineChars="200" w:firstLine="62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部门职责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（一）贯彻执行国家关于</w:t>
      </w:r>
      <w:hyperlink r:id="rId6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民政工作</w:t>
        </w:r>
      </w:hyperlink>
      <w:r>
        <w:rPr>
          <w:rFonts w:ascii="仿宋_GB2312" w:eastAsia="仿宋_GB2312" w:hint="eastAsia"/>
          <w:sz w:val="32"/>
          <w:szCs w:val="32"/>
        </w:rPr>
        <w:t>的方针、政策和法律、法规，研究制定全区民政事业中、长期规划和年度计划并组织实施和监督检查。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7C1D8D" w:rsidRDefault="0072169D">
      <w:pPr>
        <w:widowControl/>
        <w:spacing w:line="360" w:lineRule="auto"/>
        <w:ind w:firstLineChars="200" w:firstLine="62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kern w:val="0"/>
          <w:sz w:val="32"/>
          <w:szCs w:val="32"/>
        </w:rPr>
        <w:t>负责拥军优属、优待抚恤和烈士褒扬工作，</w:t>
      </w:r>
      <w:r>
        <w:rPr>
          <w:rFonts w:ascii="仿宋_GB2312" w:eastAsia="仿宋_GB2312" w:hint="eastAsia"/>
          <w:sz w:val="32"/>
          <w:szCs w:val="32"/>
        </w:rPr>
        <w:t>负责</w:t>
      </w:r>
      <w:hyperlink r:id="rId7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革命烈士</w:t>
        </w:r>
      </w:hyperlink>
      <w:r>
        <w:rPr>
          <w:rFonts w:ascii="仿宋_GB2312" w:eastAsia="仿宋_GB2312" w:hint="eastAsia"/>
          <w:sz w:val="32"/>
          <w:szCs w:val="32"/>
        </w:rPr>
        <w:t>审核、报批、褒扬和革命伤残人员</w:t>
      </w:r>
      <w:hyperlink r:id="rId8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残废等级</w:t>
        </w:r>
      </w:hyperlink>
      <w:r>
        <w:rPr>
          <w:rFonts w:ascii="仿宋_GB2312" w:eastAsia="仿宋_GB2312" w:hint="eastAsia"/>
          <w:sz w:val="32"/>
          <w:szCs w:val="32"/>
        </w:rPr>
        <w:t>评定的审核报批工作。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（三）组织救灾工作</w:t>
      </w:r>
      <w:r>
        <w:rPr>
          <w:rFonts w:ascii="仿宋_GB2312" w:eastAsia="仿宋_GB2312" w:hint="eastAsia"/>
          <w:sz w:val="32"/>
          <w:szCs w:val="32"/>
        </w:rPr>
        <w:t>，掌握和发布灾情，拨放救灾款物；组织接收、分配救灾捐赠；检查、监督救灾款物使用情况，指导灾区开展生产自救活动。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负责城乡社会救济，组织实施城乡居民最低生活保障和城乡医疗救助工作，指导敬老院建设和五保供养工作。组织开展经常性社会捐助活动。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（五）制定并组织实施</w:t>
      </w:r>
      <w:hyperlink r:id="rId9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社会福利</w:t>
        </w:r>
      </w:hyperlink>
      <w:r>
        <w:rPr>
          <w:rFonts w:ascii="仿宋_GB2312" w:eastAsia="仿宋_GB2312" w:hint="eastAsia"/>
          <w:sz w:val="32"/>
          <w:szCs w:val="32"/>
        </w:rPr>
        <w:t>事业发展规划，指导</w:t>
      </w:r>
      <w:hyperlink r:id="rId10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社会福利事业单位</w:t>
        </w:r>
      </w:hyperlink>
      <w:r>
        <w:rPr>
          <w:rFonts w:ascii="仿宋_GB2312" w:eastAsia="仿宋_GB2312" w:hint="eastAsia"/>
          <w:sz w:val="32"/>
          <w:szCs w:val="32"/>
        </w:rPr>
        <w:t>管理和</w:t>
      </w:r>
      <w:hyperlink r:id="rId11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社区服务</w:t>
        </w:r>
      </w:hyperlink>
      <w:r>
        <w:rPr>
          <w:rFonts w:ascii="仿宋_GB2312" w:eastAsia="仿宋_GB2312" w:hint="eastAsia"/>
          <w:sz w:val="32"/>
          <w:szCs w:val="32"/>
        </w:rPr>
        <w:t>工作，建立和完善</w:t>
      </w:r>
      <w:hyperlink r:id="rId12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社会福利</w:t>
        </w:r>
      </w:hyperlink>
      <w:r>
        <w:rPr>
          <w:rFonts w:ascii="仿宋_GB2312" w:eastAsia="仿宋_GB2312" w:hint="eastAsia"/>
          <w:sz w:val="32"/>
          <w:szCs w:val="32"/>
        </w:rPr>
        <w:t>服务体系。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（六）指导老年人和残疾人的权益保护工作，会同有关部门制定并监督实施残疾人就业和</w:t>
      </w:r>
      <w:hyperlink r:id="rId13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社会福利</w:t>
        </w:r>
      </w:hyperlink>
      <w:r>
        <w:rPr>
          <w:rFonts w:ascii="仿宋_GB2312" w:eastAsia="仿宋_GB2312" w:hint="eastAsia"/>
          <w:sz w:val="32"/>
          <w:szCs w:val="32"/>
        </w:rPr>
        <w:t>生产的扶持保护政策，指导社会福利生产，审批和管理辖区内社会福利企业。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（七）负责城乡</w:t>
      </w:r>
      <w:hyperlink r:id="rId14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基层政权</w:t>
        </w:r>
      </w:hyperlink>
      <w:r>
        <w:rPr>
          <w:rFonts w:ascii="仿宋_GB2312" w:eastAsia="仿宋_GB2312" w:hint="eastAsia"/>
          <w:sz w:val="32"/>
          <w:szCs w:val="32"/>
        </w:rPr>
        <w:t>建设和</w:t>
      </w:r>
      <w:hyperlink r:id="rId15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基层群众自治组织</w:t>
        </w:r>
      </w:hyperlink>
      <w:r>
        <w:rPr>
          <w:rFonts w:ascii="仿宋_GB2312" w:eastAsia="仿宋_GB2312" w:hint="eastAsia"/>
          <w:sz w:val="32"/>
          <w:szCs w:val="32"/>
        </w:rPr>
        <w:t>建设，开展村民、</w:t>
      </w:r>
      <w:hyperlink r:id="rId16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居民自治</w:t>
        </w:r>
      </w:hyperlink>
      <w:r>
        <w:rPr>
          <w:rFonts w:ascii="仿宋_GB2312" w:eastAsia="仿宋_GB2312" w:hint="eastAsia"/>
          <w:sz w:val="32"/>
          <w:szCs w:val="32"/>
        </w:rPr>
        <w:t>活动。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（八）负责行政</w:t>
      </w:r>
      <w:hyperlink r:id="rId17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区域规划</w:t>
        </w:r>
      </w:hyperlink>
      <w:r>
        <w:rPr>
          <w:rFonts w:ascii="仿宋_GB2312" w:eastAsia="仿宋_GB2312" w:hint="eastAsia"/>
          <w:sz w:val="32"/>
          <w:szCs w:val="32"/>
        </w:rPr>
        <w:t>，负责区、乡镇、</w:t>
      </w:r>
      <w:hyperlink r:id="rId18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街道办事处</w:t>
        </w:r>
      </w:hyperlink>
      <w:hyperlink r:id="rId19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行政区域</w:t>
        </w:r>
      </w:hyperlink>
      <w:r>
        <w:rPr>
          <w:rFonts w:ascii="仿宋_GB2312" w:eastAsia="仿宋_GB2312" w:hint="eastAsia"/>
          <w:sz w:val="32"/>
          <w:szCs w:val="32"/>
        </w:rPr>
        <w:t>的设立、撤销、更名和界线变更的审核报批工作。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（九）负责全区</w:t>
      </w:r>
      <w:hyperlink r:id="rId20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行政区划</w:t>
        </w:r>
      </w:hyperlink>
      <w:r>
        <w:rPr>
          <w:rFonts w:ascii="仿宋_GB2312" w:eastAsia="仿宋_GB2312" w:hint="eastAsia"/>
          <w:sz w:val="32"/>
          <w:szCs w:val="32"/>
        </w:rPr>
        <w:t>名称和重要</w:t>
      </w:r>
      <w:hyperlink r:id="rId21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自然地理</w:t>
        </w:r>
      </w:hyperlink>
      <w:r>
        <w:rPr>
          <w:rFonts w:ascii="仿宋_GB2312" w:eastAsia="仿宋_GB2312" w:hint="eastAsia"/>
          <w:sz w:val="32"/>
          <w:szCs w:val="32"/>
        </w:rPr>
        <w:t>实体的命名、更名和地名标志的规划、设立管理</w:t>
      </w:r>
      <w:r>
        <w:rPr>
          <w:rFonts w:ascii="仿宋_GB2312" w:eastAsia="仿宋_GB2312" w:hint="eastAsia"/>
          <w:sz w:val="32"/>
          <w:szCs w:val="32"/>
        </w:rPr>
        <w:t>等工作。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（十）拟订社团管理法规并组织实施；负责全区性社团组织审批登记和管理工作；指导乡镇、街道办事处、区社团管理工作。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（十一）主管</w:t>
      </w:r>
      <w:hyperlink r:id="rId22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婚姻登记</w:t>
        </w:r>
      </w:hyperlink>
      <w:r>
        <w:rPr>
          <w:rFonts w:ascii="仿宋_GB2312" w:eastAsia="仿宋_GB2312" w:hint="eastAsia"/>
          <w:sz w:val="32"/>
          <w:szCs w:val="32"/>
        </w:rPr>
        <w:t>和儿童收养工作；负责殡葬和</w:t>
      </w:r>
      <w:hyperlink r:id="rId23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公墓</w:t>
        </w:r>
      </w:hyperlink>
      <w:r>
        <w:rPr>
          <w:rFonts w:ascii="仿宋_GB2312" w:eastAsia="仿宋_GB2312" w:hint="eastAsia"/>
          <w:sz w:val="32"/>
          <w:szCs w:val="32"/>
        </w:rPr>
        <w:t>事业管理工作。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7C1D8D" w:rsidRDefault="0072169D">
      <w:pPr>
        <w:pStyle w:val="HTML"/>
        <w:spacing w:line="360" w:lineRule="atLeas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（十二）负责辖区</w:t>
      </w:r>
      <w:hyperlink r:id="rId24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流浪乞讨人员</w:t>
        </w:r>
      </w:hyperlink>
      <w:r>
        <w:rPr>
          <w:rFonts w:ascii="仿宋_GB2312" w:eastAsia="仿宋_GB2312" w:hint="eastAsia"/>
          <w:sz w:val="32"/>
          <w:szCs w:val="32"/>
        </w:rPr>
        <w:t>的收容、管理、教育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</w:t>
      </w:r>
      <w:hyperlink r:id="rId25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遣送</w:t>
        </w:r>
      </w:hyperlink>
      <w:r>
        <w:rPr>
          <w:rFonts w:ascii="仿宋_GB2312" w:eastAsia="仿宋_GB2312" w:hint="eastAsia"/>
          <w:sz w:val="32"/>
          <w:szCs w:val="32"/>
        </w:rPr>
        <w:t>工作；指导</w:t>
      </w:r>
      <w:hyperlink r:id="rId26" w:tgtFrame="_blank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收容遣送</w:t>
        </w:r>
      </w:hyperlink>
      <w:r>
        <w:rPr>
          <w:rFonts w:ascii="仿宋_GB2312" w:eastAsia="仿宋_GB2312" w:hint="eastAsia"/>
          <w:sz w:val="32"/>
          <w:szCs w:val="32"/>
        </w:rPr>
        <w:t>站的建设和管理工作。</w:t>
      </w:r>
    </w:p>
    <w:p w:rsidR="007C1D8D" w:rsidRDefault="0072169D">
      <w:pPr>
        <w:widowControl/>
        <w:spacing w:line="360" w:lineRule="auto"/>
        <w:ind w:firstLineChars="200" w:firstLine="622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（十三）指导乡镇街道办事处社区建设工作，开展社区服务，推进社区居民自治。</w:t>
      </w:r>
    </w:p>
    <w:p w:rsidR="007C1D8D" w:rsidRDefault="0072169D">
      <w:pPr>
        <w:widowControl/>
        <w:spacing w:line="360" w:lineRule="auto"/>
        <w:ind w:firstLineChars="200" w:firstLine="62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（十四）承办区党工委管委会交办的其他事项。</w:t>
      </w:r>
    </w:p>
    <w:p w:rsidR="007C1D8D" w:rsidRDefault="007C1D8D"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C1D8D" w:rsidRDefault="0072169D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22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民政服务中心部门预算单位构成</w:t>
      </w:r>
    </w:p>
    <w:p w:rsidR="007C1D8D" w:rsidRDefault="0072169D">
      <w:pPr>
        <w:kinsoku w:val="0"/>
        <w:overflowPunct w:val="0"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示范区民政服务中心是隶属示范区社会事业局的二级机构</w:t>
      </w:r>
      <w:r>
        <w:rPr>
          <w:rFonts w:ascii="仿宋_GB2312" w:eastAsia="仿宋_GB2312" w:hAnsi="楷体_GB2312" w:cs="楷体_GB2312" w:hint="eastAsia"/>
          <w:sz w:val="32"/>
          <w:szCs w:val="32"/>
        </w:rPr>
        <w:t>,</w:t>
      </w:r>
      <w:r>
        <w:rPr>
          <w:rFonts w:ascii="仿宋_GB2312" w:eastAsia="仿宋_GB2312" w:hAnsi="楷体_GB2312" w:cs="楷体_GB2312" w:hint="eastAsia"/>
          <w:sz w:val="32"/>
          <w:szCs w:val="32"/>
        </w:rPr>
        <w:t>经费财政全供。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本次预算为本中心预算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7C1D8D" w:rsidRDefault="007C1D8D">
      <w:pPr>
        <w:widowControl/>
        <w:shd w:val="clear" w:color="auto" w:fill="FFFFFF"/>
        <w:spacing w:line="450" w:lineRule="atLeast"/>
        <w:ind w:firstLineChars="200" w:firstLine="622"/>
        <w:jc w:val="left"/>
        <w:rPr>
          <w:rFonts w:ascii="仿宋" w:eastAsia="仿宋_GB2312" w:hAnsi="仿宋" w:cs="仿宋"/>
          <w:sz w:val="32"/>
          <w:szCs w:val="32"/>
        </w:rPr>
      </w:pPr>
    </w:p>
    <w:p w:rsidR="007C1D8D" w:rsidRDefault="0072169D">
      <w:pPr>
        <w:widowControl/>
        <w:shd w:val="clear" w:color="auto" w:fill="FFFFFF"/>
        <w:spacing w:line="450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第二部分</w:t>
      </w:r>
    </w:p>
    <w:p w:rsidR="007C1D8D" w:rsidRDefault="0072169D">
      <w:pPr>
        <w:adjustRightInd w:val="0"/>
        <w:snapToGrid w:val="0"/>
        <w:spacing w:line="360" w:lineRule="auto"/>
        <w:ind w:firstLineChars="200" w:firstLine="625"/>
        <w:jc w:val="center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民政服务中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年度部门预算情况说明</w:t>
      </w:r>
    </w:p>
    <w:p w:rsidR="007C1D8D" w:rsidRDefault="0072169D">
      <w:pPr>
        <w:adjustRightInd w:val="0"/>
        <w:snapToGrid w:val="0"/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一、收入支出预算总体情况说明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仿宋_GB2312" w:eastAsia="仿宋_GB2312" w:hAnsi="仿宋_GB2312" w:cs="仿宋_GB2312"/>
          <w:color w:val="3A3535"/>
          <w:sz w:val="32"/>
          <w:szCs w:val="32"/>
          <w:shd w:val="clear" w:color="080000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年收入</w:t>
      </w:r>
      <w:r>
        <w:rPr>
          <w:rFonts w:ascii="Arial" w:eastAsia="仿宋_GB2312" w:hAnsi="Arial" w:cs="Arial" w:hint="eastAsia"/>
          <w:sz w:val="32"/>
          <w:szCs w:val="32"/>
        </w:rPr>
        <w:t>1901.21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万元，支出总计</w:t>
      </w:r>
      <w:r>
        <w:rPr>
          <w:rFonts w:ascii="Arial" w:eastAsia="仿宋_GB2312" w:hAnsi="Arial" w:cs="Arial" w:hint="eastAsia"/>
          <w:sz w:val="32"/>
          <w:szCs w:val="32"/>
        </w:rPr>
        <w:t>1901.21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年相比，收、支总计各减少</w:t>
      </w:r>
      <w:r>
        <w:rPr>
          <w:rFonts w:ascii="Arial" w:eastAsia="仿宋_GB2312" w:hAnsi="Arial" w:cs="Arial" w:hint="eastAsia"/>
          <w:sz w:val="32"/>
          <w:szCs w:val="32"/>
        </w:rPr>
        <w:t>235.46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下降</w:t>
      </w:r>
      <w:r>
        <w:rPr>
          <w:rFonts w:ascii="Arial" w:eastAsia="仿宋_GB2312" w:hAnsi="Arial" w:cs="Arial" w:hint="eastAsia"/>
          <w:sz w:val="32"/>
          <w:szCs w:val="32"/>
        </w:rPr>
        <w:t>11.02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主要原因：基本建设项目支出减少。</w:t>
      </w:r>
    </w:p>
    <w:p w:rsidR="007C1D8D" w:rsidRDefault="0072169D">
      <w:pPr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二、收入预算总体情况说明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Arial" w:eastAsia="仿宋_GB2312" w:hAnsi="Arial" w:cs="Arial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年收入合计</w:t>
      </w:r>
      <w:r>
        <w:rPr>
          <w:rFonts w:ascii="Arial" w:eastAsia="仿宋_GB2312" w:hAnsi="Arial" w:cs="Arial" w:hint="eastAsia"/>
          <w:sz w:val="32"/>
          <w:szCs w:val="32"/>
        </w:rPr>
        <w:t>1901.21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万元，其中：一般公共预算收入</w:t>
      </w:r>
      <w:r>
        <w:rPr>
          <w:rFonts w:ascii="Arial" w:eastAsia="仿宋_GB2312" w:hAnsi="Arial" w:cs="Arial" w:hint="eastAsia"/>
          <w:sz w:val="32"/>
          <w:szCs w:val="32"/>
        </w:rPr>
        <w:t>1901.21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政府性基金预算收入</w:t>
      </w:r>
      <w:r>
        <w:rPr>
          <w:rFonts w:ascii="Arial" w:eastAsia="仿宋_GB2312" w:hAnsi="Arial" w:cs="Arial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万元；国有资本经营预算收入</w:t>
      </w:r>
      <w:r>
        <w:rPr>
          <w:rFonts w:ascii="Arial" w:eastAsia="仿宋_GB2312" w:hAnsi="Arial" w:cs="Arial" w:hint="eastAsia"/>
          <w:sz w:val="32"/>
          <w:szCs w:val="32"/>
        </w:rPr>
        <w:t>0</w:t>
      </w:r>
      <w:r>
        <w:rPr>
          <w:rFonts w:ascii="Arial" w:eastAsia="仿宋_GB2312" w:hAnsi="Arial" w:cs="Arial" w:hint="eastAsia"/>
          <w:sz w:val="32"/>
          <w:szCs w:val="32"/>
        </w:rPr>
        <w:t>万元；其他收入</w:t>
      </w:r>
      <w:r>
        <w:rPr>
          <w:rFonts w:ascii="Arial" w:eastAsia="仿宋_GB2312" w:hAnsi="Arial" w:cs="Arial" w:hint="eastAsia"/>
          <w:sz w:val="32"/>
          <w:szCs w:val="32"/>
        </w:rPr>
        <w:t>0</w:t>
      </w:r>
      <w:r>
        <w:rPr>
          <w:rFonts w:ascii="Arial" w:eastAsia="仿宋_GB2312" w:hAnsi="Arial" w:cs="Arial" w:hint="eastAsia"/>
          <w:sz w:val="32"/>
          <w:szCs w:val="32"/>
        </w:rPr>
        <w:t>万元。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三、支出预算总体情况说明</w:t>
      </w:r>
    </w:p>
    <w:p w:rsidR="007C1D8D" w:rsidRDefault="0072169D">
      <w:pPr>
        <w:spacing w:line="360" w:lineRule="auto"/>
        <w:ind w:firstLineChars="200" w:firstLine="622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年支出合计</w:t>
      </w:r>
      <w:r>
        <w:rPr>
          <w:rFonts w:ascii="Arial" w:eastAsia="仿宋_GB2312" w:hAnsi="Arial" w:cs="Arial" w:hint="eastAsia"/>
          <w:sz w:val="32"/>
          <w:szCs w:val="32"/>
        </w:rPr>
        <w:t>1901.21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万元，其中：基本支出</w:t>
      </w:r>
      <w:r>
        <w:rPr>
          <w:rFonts w:ascii="Arial" w:eastAsia="仿宋_GB2312" w:hAnsi="Arial" w:cs="Arial" w:hint="eastAsia"/>
          <w:sz w:val="32"/>
          <w:szCs w:val="32"/>
        </w:rPr>
        <w:t>79.38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Arial" w:eastAsia="仿宋_GB2312" w:hAnsi="Arial" w:cs="Arial" w:hint="eastAsia"/>
          <w:sz w:val="32"/>
          <w:szCs w:val="32"/>
        </w:rPr>
        <w:t>4.18%</w:t>
      </w:r>
      <w:r>
        <w:rPr>
          <w:rFonts w:ascii="仿宋_GB2312" w:eastAsia="仿宋_GB2312" w:hAnsi="仿宋_GB2312" w:cs="仿宋_GB2312" w:hint="eastAsia"/>
          <w:sz w:val="32"/>
          <w:szCs w:val="32"/>
        </w:rPr>
        <w:t>；项目支出</w:t>
      </w:r>
      <w:r>
        <w:rPr>
          <w:rFonts w:ascii="Arial" w:eastAsia="仿宋_GB2312" w:hAnsi="Arial" w:cs="Arial" w:hint="eastAsia"/>
          <w:sz w:val="32"/>
          <w:szCs w:val="32"/>
        </w:rPr>
        <w:t>1821.83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Arial" w:eastAsia="仿宋_GB2312" w:hAnsi="Arial" w:cs="Arial" w:hint="eastAsia"/>
          <w:sz w:val="32"/>
          <w:szCs w:val="32"/>
        </w:rPr>
        <w:t>95.82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四、财政拨款收入支出预算总体情况说明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年一般公共预算收支预算</w:t>
      </w:r>
      <w:r>
        <w:rPr>
          <w:rFonts w:ascii="Arial" w:eastAsia="仿宋_GB2312" w:hAnsi="Arial" w:cs="Arial" w:hint="eastAsia"/>
          <w:sz w:val="32"/>
          <w:szCs w:val="32"/>
        </w:rPr>
        <w:t>1901.21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政府性基金收支预算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年相比，一般公共预算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收支预算减少</w:t>
      </w:r>
      <w:r>
        <w:rPr>
          <w:rFonts w:ascii="Arial" w:eastAsia="仿宋_GB2312" w:hAnsi="Arial" w:cs="Arial" w:hint="eastAsia"/>
          <w:sz w:val="32"/>
          <w:szCs w:val="32"/>
        </w:rPr>
        <w:t>235.46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11.02</w:t>
      </w:r>
      <w:r>
        <w:rPr>
          <w:rFonts w:ascii="Arial" w:eastAsia="仿宋_GB2312" w:hAnsi="Arial" w:cs="Arial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主要原因：基本建设项目支出减少；</w:t>
      </w:r>
      <w:r>
        <w:rPr>
          <w:rFonts w:ascii="仿宋" w:eastAsia="仿宋" w:hAnsi="仿宋" w:cs="仿宋" w:hint="eastAsia"/>
          <w:sz w:val="32"/>
          <w:szCs w:val="32"/>
        </w:rPr>
        <w:t>无政府性基金预算。</w:t>
      </w:r>
    </w:p>
    <w:p w:rsidR="007C1D8D" w:rsidRDefault="0072169D">
      <w:pPr>
        <w:spacing w:line="360" w:lineRule="auto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五、一般公共预算支出预算情况说明</w:t>
      </w:r>
    </w:p>
    <w:p w:rsidR="007C1D8D" w:rsidRDefault="0072169D">
      <w:pPr>
        <w:widowControl/>
        <w:ind w:firstLine="622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年一般公共预算支出年初预算为</w:t>
      </w:r>
      <w:r>
        <w:rPr>
          <w:rFonts w:ascii="Arial" w:eastAsia="仿宋_GB2312" w:hAnsi="Arial" w:cs="Arial" w:hint="eastAsia"/>
          <w:sz w:val="32"/>
          <w:szCs w:val="32"/>
        </w:rPr>
        <w:t>1901.21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万元。主要用于以下方面：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教育支出</w:t>
      </w:r>
      <w:r>
        <w:rPr>
          <w:rFonts w:ascii="Arial" w:eastAsia="仿宋_GB2312" w:hAnsi="Arial" w:cs="Arial" w:hint="eastAsia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0.24%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；社会保障和就业支出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1766.71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92.93%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；卫生健康支出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6.57%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；住房保障支出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0.26%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六、一般公共预算基本支出预算情况说明</w:t>
      </w:r>
    </w:p>
    <w:p w:rsidR="007C1D8D" w:rsidRDefault="0072169D">
      <w:pPr>
        <w:widowControl/>
        <w:ind w:firstLine="622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年一般公共预算基本支出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79.38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>
        <w:rPr>
          <w:rFonts w:ascii="仿宋_GB2312" w:eastAsia="仿宋_GB2312" w:hAnsi="仿宋_GB2312" w:cs="仿宋_GB2312" w:hint="eastAsia"/>
          <w:b/>
          <w:spacing w:val="-1"/>
          <w:kern w:val="0"/>
          <w:sz w:val="32"/>
          <w:szCs w:val="32"/>
        </w:rPr>
        <w:t>人员经费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77.07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主要包括：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基本工资、津贴补贴、奖金、绩效工资、机关事业单位基本养老保险缴费、职业年金缴费、医疗保险缴费、其他社会保障缴费、住房公积金、其他工资福利支出、退休费、其他对个人和家庭的补助支出；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公用经费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2.31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主要包括：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费、印刷费、水费、电费、邮电费、取暖费、差旅费、维修（护）费、租赁费、会议费、培训费、公务接待费、专用材料费、劳务费、委托业务费、福利费、其他商品和服务支出、办公设备购置、信息网络及软件购置更新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七、政府性基金预算支出预算情况说明</w:t>
      </w:r>
    </w:p>
    <w:p w:rsidR="007C1D8D" w:rsidRDefault="0072169D">
      <w:pPr>
        <w:spacing w:line="560" w:lineRule="exact"/>
        <w:ind w:firstLineChars="200" w:firstLine="622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年没有使用政府性基金预算拨款安排的支出。</w:t>
      </w:r>
    </w:p>
    <w:p w:rsidR="007C1D8D" w:rsidRDefault="0072169D">
      <w:pPr>
        <w:spacing w:line="360" w:lineRule="auto"/>
        <w:ind w:firstLineChars="200" w:firstLine="622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国有资本经营预算支出预算情况说明</w:t>
      </w:r>
    </w:p>
    <w:p w:rsidR="007C1D8D" w:rsidRDefault="0072169D">
      <w:pPr>
        <w:spacing w:line="560" w:lineRule="exact"/>
        <w:ind w:firstLineChars="200" w:firstLine="622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我单位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年没有使用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政国有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资本经营预算拨款安排的支出。</w:t>
      </w:r>
    </w:p>
    <w:p w:rsidR="007C1D8D" w:rsidRDefault="0072169D">
      <w:pPr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九、“三公”经费支出预算情况说明</w:t>
      </w:r>
    </w:p>
    <w:p w:rsidR="007C1D8D" w:rsidRDefault="0072169D">
      <w:pPr>
        <w:widowControl/>
        <w:ind w:firstLineChars="200" w:firstLine="62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年“三公”经费预算为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年预算数减少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0.08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具体支出情况如下：</w:t>
      </w:r>
    </w:p>
    <w:p w:rsidR="007C1D8D" w:rsidRDefault="0072169D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pacing w:val="-1"/>
          <w:kern w:val="0"/>
          <w:sz w:val="32"/>
          <w:szCs w:val="32"/>
        </w:rPr>
        <w:t>因公出国（境）费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万元，与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年持平。</w:t>
      </w:r>
    </w:p>
    <w:p w:rsidR="007C1D8D" w:rsidRDefault="0072169D">
      <w:pPr>
        <w:widowControl/>
        <w:ind w:firstLineChars="200" w:firstLine="622"/>
        <w:jc w:val="left"/>
        <w:rPr>
          <w:rFonts w:ascii="仿宋_GB2312" w:eastAsia="仿宋_GB2312" w:hAnsi="仿宋_GB2312" w:cs="仿宋_GB2312"/>
          <w:color w:val="3A3535"/>
          <w:sz w:val="32"/>
          <w:szCs w:val="32"/>
          <w:shd w:val="clear" w:color="080000" w:fill="FFFFFF"/>
        </w:rPr>
      </w:pP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3A3535"/>
          <w:sz w:val="32"/>
          <w:szCs w:val="32"/>
          <w:shd w:val="clear" w:color="080000" w:fill="FFFFFF"/>
        </w:rPr>
        <w:t>公务用车购置及运行费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1.3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万元。其中公务用车购置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0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年持平，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公务用车运行维护费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1.3</w:t>
      </w:r>
      <w:r>
        <w:rPr>
          <w:rFonts w:ascii="仿宋_GB2312" w:eastAsia="仿宋_GB2312" w:hAnsi="仿宋_GB2312" w:cs="仿宋_GB2312" w:hint="eastAsia"/>
          <w:color w:val="3A3535"/>
          <w:sz w:val="32"/>
          <w:szCs w:val="32"/>
          <w:shd w:val="clear" w:color="080000" w:fill="FFFFFF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年持平，主要原因：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下乡低保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复核，公车运行。</w:t>
      </w:r>
    </w:p>
    <w:p w:rsidR="007C1D8D" w:rsidRDefault="0072169D">
      <w:pPr>
        <w:spacing w:line="360" w:lineRule="auto"/>
        <w:ind w:firstLineChars="200" w:firstLine="621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pacing w:val="-1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spacing w:val="-1"/>
          <w:kern w:val="0"/>
          <w:sz w:val="32"/>
          <w:szCs w:val="32"/>
        </w:rPr>
        <w:t>公务接待费</w:t>
      </w:r>
      <w:r>
        <w:rPr>
          <w:rFonts w:ascii="仿宋_GB2312" w:eastAsia="仿宋_GB2312" w:hAnsi="仿宋_GB2312" w:cs="仿宋_GB2312" w:hint="eastAsia"/>
          <w:b/>
          <w:spacing w:val="-1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年预算数减少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kern w:val="0"/>
          <w:sz w:val="32"/>
          <w:szCs w:val="32"/>
        </w:rPr>
        <w:t>主要原因：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响应号召，厉行节俭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十、其他重要事项的情况说明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（一）机关运行经费支出情况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万元，主要保障机关机构正常运转及正常履职需要的办公费、水电费、物业费、维修费、差旅费等支出，比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年减少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1.82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44.07%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响应号召，厉行节俭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（二）政府采购支出情况</w:t>
      </w:r>
    </w:p>
    <w:p w:rsidR="007C1D8D" w:rsidRDefault="0072169D">
      <w:pPr>
        <w:spacing w:line="560" w:lineRule="exact"/>
        <w:ind w:firstLineChars="200" w:firstLine="622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年没有使用政府采购预算拨款安排的支出。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5"/>
        <w:outlineLvl w:val="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（三）关于预算绩效管理工作开展情况说明</w:t>
      </w:r>
    </w:p>
    <w:p w:rsidR="007C1D8D" w:rsidRDefault="0072169D">
      <w:pPr>
        <w:spacing w:line="360" w:lineRule="auto"/>
        <w:ind w:firstLineChars="200" w:firstLine="62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个项目进行了预算绩效评价，涉及资金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100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纳入预算绩效管理的支出总额为</w:t>
      </w:r>
      <w:r>
        <w:rPr>
          <w:rFonts w:ascii="仿宋" w:eastAsia="仿宋" w:hAnsi="仿宋" w:cs="仿宋" w:hint="eastAsia"/>
          <w:sz w:val="32"/>
          <w:szCs w:val="32"/>
        </w:rPr>
        <w:t>1901.21</w:t>
      </w:r>
      <w:r>
        <w:rPr>
          <w:rFonts w:ascii="仿宋" w:eastAsia="仿宋" w:hAnsi="仿宋" w:cs="仿宋" w:hint="eastAsia"/>
          <w:sz w:val="32"/>
          <w:szCs w:val="32"/>
        </w:rPr>
        <w:t>万元，其中人员经费支出</w:t>
      </w:r>
      <w:r>
        <w:rPr>
          <w:rFonts w:ascii="仿宋" w:eastAsia="仿宋" w:hAnsi="仿宋" w:cs="仿宋" w:hint="eastAsia"/>
          <w:sz w:val="32"/>
          <w:szCs w:val="32"/>
        </w:rPr>
        <w:t>77.07</w:t>
      </w:r>
      <w:r>
        <w:rPr>
          <w:rFonts w:ascii="仿宋" w:eastAsia="仿宋" w:hAnsi="仿宋" w:cs="仿宋" w:hint="eastAsia"/>
          <w:sz w:val="32"/>
          <w:szCs w:val="32"/>
        </w:rPr>
        <w:t>万元，公用经费支出</w:t>
      </w:r>
      <w:r>
        <w:rPr>
          <w:rFonts w:ascii="仿宋" w:eastAsia="仿宋" w:hAnsi="仿宋" w:cs="仿宋" w:hint="eastAsia"/>
          <w:sz w:val="32"/>
          <w:szCs w:val="32"/>
        </w:rPr>
        <w:t>2.31</w:t>
      </w:r>
      <w:r>
        <w:rPr>
          <w:rFonts w:ascii="仿宋" w:eastAsia="仿宋" w:hAnsi="仿宋" w:cs="仿宋" w:hint="eastAsia"/>
          <w:sz w:val="32"/>
          <w:szCs w:val="32"/>
        </w:rPr>
        <w:t>万元，支出项目共</w:t>
      </w:r>
      <w:r>
        <w:rPr>
          <w:rFonts w:ascii="仿宋" w:eastAsia="仿宋" w:hAnsi="仿宋" w:cs="仿宋" w:hint="eastAsia"/>
          <w:sz w:val="32"/>
          <w:szCs w:val="32"/>
        </w:rPr>
        <w:t>72</w:t>
      </w:r>
      <w:r>
        <w:rPr>
          <w:rFonts w:ascii="仿宋" w:eastAsia="仿宋" w:hAnsi="仿宋" w:cs="仿宋" w:hint="eastAsia"/>
          <w:sz w:val="32"/>
          <w:szCs w:val="32"/>
        </w:rPr>
        <w:t>个，支出总额</w:t>
      </w:r>
      <w:r>
        <w:rPr>
          <w:rFonts w:ascii="仿宋" w:eastAsia="仿宋" w:hAnsi="仿宋" w:cs="仿宋" w:hint="eastAsia"/>
          <w:sz w:val="32"/>
          <w:szCs w:val="32"/>
        </w:rPr>
        <w:t>1821.83</w:t>
      </w:r>
      <w:r>
        <w:rPr>
          <w:rFonts w:ascii="仿宋" w:eastAsia="仿宋" w:hAnsi="仿宋" w:cs="仿宋" w:hint="eastAsia"/>
          <w:sz w:val="32"/>
          <w:szCs w:val="32"/>
        </w:rPr>
        <w:t>万元，其中预算支出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万元及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万元以上项目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个，支出总额</w:t>
      </w:r>
      <w:r>
        <w:rPr>
          <w:rFonts w:ascii="仿宋" w:eastAsia="仿宋" w:hAnsi="仿宋" w:cs="仿宋" w:hint="eastAsia"/>
          <w:sz w:val="32"/>
          <w:szCs w:val="32"/>
        </w:rPr>
        <w:t>826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C1D8D" w:rsidRDefault="0072169D">
      <w:pPr>
        <w:spacing w:line="360" w:lineRule="auto"/>
        <w:ind w:leftChars="200" w:left="40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（四）国有资产占用情况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2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年期末，民政服务中心部门固定资产总额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3246.68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万元，其中，房屋建筑物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2363.91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万元，车辆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万元。共有车辆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辆，其中：一般公务用车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辆，执法执勤车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辆；其中，通用设备：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81.75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万元以上通用设备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台（套），单位价值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万元以上专用设备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7C1D8D" w:rsidRDefault="0072169D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（五）关于预算部门构成说明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年我单位按照市财政预算公开要求，将所属预算单位全部纳入预算公开范围。</w:t>
      </w:r>
    </w:p>
    <w:p w:rsidR="007C1D8D" w:rsidRDefault="0072169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第三部分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名词解释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一、财政拨款收入：是指区</w:t>
      </w:r>
      <w:r>
        <w:rPr>
          <w:rFonts w:ascii="仿宋_GB2312" w:eastAsia="仿宋_GB2312" w:hAnsi="仿宋_GB2312" w:cs="仿宋_GB2312" w:hint="eastAsia"/>
          <w:sz w:val="32"/>
          <w:szCs w:val="32"/>
        </w:rPr>
        <w:t>级财政当年拨付的资金。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得的收入。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五、项目支出：是指在基本支出之外，为完成特定的行政工作任务或事业发展目标所发生的支出。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六、“三公”经费：是指纳入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单位按规定开支的各类公务接待（含外宾接待）支出。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七、机关运行经费：是指为保障行政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ascii="仿宋_GB2312" w:eastAsia="仿宋_GB2312" w:hAnsi="宋体" w:cs="Courier New" w:hint="eastAsia"/>
          <w:sz w:val="32"/>
          <w:szCs w:val="32"/>
        </w:rPr>
        <w:t>公务用车运行维护费以</w:t>
      </w:r>
      <w:r>
        <w:rPr>
          <w:rFonts w:ascii="仿宋_GB2312" w:eastAsia="仿宋_GB2312" w:hAnsi="宋体" w:cs="Courier New" w:hint="eastAsia"/>
          <w:sz w:val="32"/>
          <w:szCs w:val="32"/>
        </w:rPr>
        <w:t>及其他费用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等支出。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八、抚恤：指各级列入政府收支分类科目中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20808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款指标，反映用于各类优抚对象和优抚事业单位的支出。</w:t>
      </w:r>
    </w:p>
    <w:p w:rsidR="007C1D8D" w:rsidRDefault="007216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7C1D8D" w:rsidRDefault="0072169D">
      <w:pPr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附件：民政服务中心部门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7C1D8D" w:rsidRDefault="007C1D8D">
      <w:pPr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</w:p>
    <w:p w:rsidR="007C1D8D" w:rsidRDefault="0072169D">
      <w:pPr>
        <w:adjustRightInd w:val="0"/>
        <w:snapToGrid w:val="0"/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D8D" w:rsidRDefault="007C1D8D">
      <w:pPr>
        <w:adjustRightInd w:val="0"/>
        <w:snapToGrid w:val="0"/>
        <w:spacing w:line="360" w:lineRule="auto"/>
        <w:ind w:firstLineChars="200" w:firstLine="622"/>
        <w:rPr>
          <w:rFonts w:ascii="仿宋" w:eastAsia="仿宋" w:hAnsi="仿宋" w:cs="仿宋"/>
          <w:color w:val="FF0000"/>
          <w:sz w:val="32"/>
          <w:szCs w:val="32"/>
        </w:rPr>
      </w:pPr>
    </w:p>
    <w:sectPr w:rsidR="007C1D8D">
      <w:pgSz w:w="11906" w:h="16838"/>
      <w:pgMar w:top="2154" w:right="1474" w:bottom="1757" w:left="1587" w:header="851" w:footer="992" w:gutter="0"/>
      <w:cols w:space="720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2DAA"/>
    <w:multiLevelType w:val="singleLevel"/>
    <w:tmpl w:val="5A4F2DAA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5A796DEC"/>
    <w:multiLevelType w:val="singleLevel"/>
    <w:tmpl w:val="5A796DEC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B98E61F"/>
    <w:multiLevelType w:val="singleLevel"/>
    <w:tmpl w:val="5B98E61F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5B98E63F"/>
    <w:multiLevelType w:val="singleLevel"/>
    <w:tmpl w:val="5B98E63F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101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D8D"/>
    <w:rsid w:val="0072169D"/>
    <w:rsid w:val="007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8609FBC-A61B-48E5-AB0A-F2651105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2D64B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6%AE%8B%E5%BA%9F%E7%AD%89%E7%BA%A7&amp;hl_tag=textlink&amp;tn=SE_hldp01350_v6v6zkg6" TargetMode="External"/><Relationship Id="rId13" Type="http://schemas.openxmlformats.org/officeDocument/2006/relationships/hyperlink" Target="http://www.baidu.com/s?wd=%E7%A4%BE%E4%BC%9A%E7%A6%8F%E5%88%A9&amp;hl_tag=textlink&amp;tn=SE_hldp01350_v6v6zkg6" TargetMode="External"/><Relationship Id="rId18" Type="http://schemas.openxmlformats.org/officeDocument/2006/relationships/hyperlink" Target="http://www.baidu.com/s?wd=%E8%A1%97%E9%81%93%E5%8A%9E%E4%BA%8B%E5%A4%84&amp;hl_tag=textlink&amp;tn=SE_hldp01350_v6v6zkg6" TargetMode="External"/><Relationship Id="rId26" Type="http://schemas.openxmlformats.org/officeDocument/2006/relationships/hyperlink" Target="http://www.baidu.com/s?wd=%E6%94%B6%E5%AE%B9%E9%81%A3%E9%80%81&amp;hl_tag=textlink&amp;tn=SE_hldp01350_v6v6zkg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idu.com/s?wd=%E8%87%AA%E7%84%B6%E5%9C%B0%E7%90%86&amp;hl_tag=textlink&amp;tn=SE_hldp01350_v6v6zkg6" TargetMode="External"/><Relationship Id="rId7" Type="http://schemas.openxmlformats.org/officeDocument/2006/relationships/hyperlink" Target="http://www.baidu.com/s?wd=%E9%9D%A9%E5%91%BD%E7%83%88%E5%A3%AB&amp;hl_tag=textlink&amp;tn=SE_hldp01350_v6v6zkg6" TargetMode="External"/><Relationship Id="rId12" Type="http://schemas.openxmlformats.org/officeDocument/2006/relationships/hyperlink" Target="http://www.baidu.com/s?wd=%E7%A4%BE%E4%BC%9A%E7%A6%8F%E5%88%A9&amp;hl_tag=textlink&amp;tn=SE_hldp01350_v6v6zkg6" TargetMode="External"/><Relationship Id="rId17" Type="http://schemas.openxmlformats.org/officeDocument/2006/relationships/hyperlink" Target="http://www.baidu.com/s?wd=%E5%8C%BA%E5%9F%9F%E8%A7%84%E5%88%92&amp;hl_tag=textlink&amp;tn=SE_hldp01350_v6v6zkg6" TargetMode="External"/><Relationship Id="rId25" Type="http://schemas.openxmlformats.org/officeDocument/2006/relationships/hyperlink" Target="http://www.baidu.com/s?wd=%E9%81%A3%E9%80%81&amp;hl_tag=textlink&amp;tn=SE_hldp01350_v6v6zkg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idu.com/s?wd=%E5%B1%85%E6%B0%91%E8%87%AA%E6%B2%BB&amp;hl_tag=textlink&amp;tn=SE_hldp01350_v6v6zkg6" TargetMode="External"/><Relationship Id="rId20" Type="http://schemas.openxmlformats.org/officeDocument/2006/relationships/hyperlink" Target="http://www.baidu.com/s?wd=%E8%A1%8C%E6%94%BF%E5%8C%BA%E5%88%92&amp;hl_tag=textlink&amp;tn=SE_hldp01350_v6v6zkg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aidu.com/s?wd=%E6%B0%91%E6%94%BF%E5%B7%A5%E4%BD%9C&amp;hl_tag=textlink&amp;tn=SE_hldp01350_v6v6zkg6" TargetMode="External"/><Relationship Id="rId11" Type="http://schemas.openxmlformats.org/officeDocument/2006/relationships/hyperlink" Target="http://www.baidu.com/s?wd=%E7%A4%BE%E5%8C%BA%E6%9C%8D%E5%8A%A1&amp;hl_tag=textlink&amp;tn=SE_hldp01350_v6v6zkg6" TargetMode="External"/><Relationship Id="rId24" Type="http://schemas.openxmlformats.org/officeDocument/2006/relationships/hyperlink" Target="http://www.baidu.com/s?wd=%E6%B5%81%E6%B5%AA%E4%B9%9E%E8%AE%A8%E4%BA%BA%E5%91%98&amp;hl_tag=textlink&amp;tn=SE_hldp01350_v6v6zkg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idu.com/s?wd=%E5%9F%BA%E5%B1%82%E7%BE%A4%E4%BC%97%E8%87%AA%E6%B2%BB%E7%BB%84%E7%BB%87&amp;hl_tag=textlink&amp;tn=SE_hldp01350_v6v6zkg6" TargetMode="External"/><Relationship Id="rId23" Type="http://schemas.openxmlformats.org/officeDocument/2006/relationships/hyperlink" Target="http://www.baidu.com/s?wd=%E5%85%AC%E5%A2%93&amp;hl_tag=textlink&amp;tn=SE_hldp01350_v6v6zkg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aidu.com/s?wd=%E7%A4%BE%E4%BC%9A%E7%A6%8F%E5%88%A9%E4%BA%8B%E4%B8%9A%E5%8D%95%E4%BD%8D&amp;hl_tag=textlink&amp;tn=SE_hldp01350_v6v6zkg6" TargetMode="External"/><Relationship Id="rId19" Type="http://schemas.openxmlformats.org/officeDocument/2006/relationships/hyperlink" Target="http://www.baidu.com/s?wd=%E8%A1%8C%E6%94%BF%E5%8C%BA%E5%9F%9F&amp;hl_tag=textlink&amp;tn=SE_hldp01350_v6v6zkg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idu.com/s?wd=%E7%A4%BE%E4%BC%9A%E7%A6%8F%E5%88%A9&amp;hl_tag=textlink&amp;tn=SE_hldp01350_v6v6zkg6" TargetMode="External"/><Relationship Id="rId14" Type="http://schemas.openxmlformats.org/officeDocument/2006/relationships/hyperlink" Target="http://www.baidu.com/s?wd=%E5%9F%BA%E5%B1%82%E6%94%BF%E6%9D%83&amp;hl_tag=textlink&amp;tn=SE_hldp01350_v6v6zkg6" TargetMode="External"/><Relationship Id="rId22" Type="http://schemas.openxmlformats.org/officeDocument/2006/relationships/hyperlink" Target="http://www.baidu.com/s?wd=%E5%A9%9A%E5%A7%BB%E7%99%BB%E8%AE%B0&amp;hl_tag=textlink&amp;tn=SE_hldp01350_v6v6zkg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954</Words>
  <Characters>5444</Characters>
  <Application>Microsoft Office Word</Application>
  <DocSecurity>0</DocSecurity>
  <Lines>45</Lines>
  <Paragraphs>12</Paragraphs>
  <ScaleCrop>false</ScaleCrop>
  <Company>XLGS.COM.CN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XLGS</cp:lastModifiedBy>
  <cp:revision>1</cp:revision>
  <cp:lastPrinted>2019-04-01T08:02:00Z</cp:lastPrinted>
  <dcterms:created xsi:type="dcterms:W3CDTF">2018-01-04T09:29:00Z</dcterms:created>
  <dcterms:modified xsi:type="dcterms:W3CDTF">2021-06-01T07:46:00Z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