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fill="FFFFFF"/>
        <w:spacing w:before="0" w:beforeAutospacing="0" w:after="0" w:afterAutospacing="0" w:line="560" w:lineRule="exact"/>
        <w:ind w:left="0" w:right="0"/>
        <w:jc w:val="center"/>
        <w:rPr>
          <w:rFonts w:hint="eastAsia" w:ascii="方正小标宋简体" w:hAnsi="方正小标宋简体" w:eastAsia="方正小标宋简体" w:cs="方正小标宋简体"/>
          <w:bCs/>
          <w:color w:val="333333"/>
          <w:sz w:val="44"/>
          <w:szCs w:val="44"/>
          <w:shd w:val="clear" w:fill="FFFFFF"/>
          <w:lang w:val="en-US"/>
        </w:rPr>
      </w:pPr>
      <w:r>
        <w:rPr>
          <w:rFonts w:hint="eastAsia" w:ascii="方正小标宋简体" w:hAnsi="方正小标宋简体" w:eastAsia="方正小标宋简体" w:cs="方正小标宋简体"/>
          <w:bCs/>
          <w:color w:val="333333"/>
          <w:sz w:val="44"/>
          <w:szCs w:val="44"/>
          <w:shd w:val="clear" w:fill="FFFFFF"/>
          <w:lang w:eastAsia="zh-CN"/>
        </w:rPr>
        <w:t>开放招商和投资服务中心</w:t>
      </w:r>
    </w:p>
    <w:p>
      <w:pPr>
        <w:pStyle w:val="2"/>
        <w:widowControl/>
        <w:shd w:val="clear" w:fill="FFFFFF"/>
        <w:spacing w:before="0" w:beforeAutospacing="0" w:after="0" w:afterAutospacing="0" w:line="560" w:lineRule="exact"/>
        <w:ind w:left="0" w:right="0"/>
        <w:jc w:val="center"/>
        <w:rPr>
          <w:color w:val="333333"/>
          <w:sz w:val="22"/>
          <w:szCs w:val="24"/>
          <w:shd w:val="clear" w:fill="FFFFFF"/>
          <w:lang w:val="en-US"/>
        </w:rPr>
      </w:pPr>
      <w:r>
        <w:rPr>
          <w:rFonts w:hint="eastAsia" w:ascii="方正小标宋简体" w:hAnsi="方正小标宋简体" w:eastAsia="方正小标宋简体" w:cs="方正小标宋简体"/>
          <w:bCs/>
          <w:color w:val="333333"/>
          <w:sz w:val="44"/>
          <w:szCs w:val="44"/>
          <w:shd w:val="clear" w:fill="FFFFFF"/>
          <w:lang w:val="en-US"/>
        </w:rPr>
        <w:t>2021</w:t>
      </w:r>
      <w:r>
        <w:rPr>
          <w:rFonts w:hint="eastAsia" w:ascii="方正小标宋简体" w:hAnsi="方正小标宋简体" w:eastAsia="方正小标宋简体" w:cs="方正小标宋简体"/>
          <w:bCs/>
          <w:color w:val="333333"/>
          <w:sz w:val="44"/>
          <w:szCs w:val="44"/>
          <w:shd w:val="clear" w:fill="FFFFFF"/>
          <w:lang w:eastAsia="zh-CN"/>
        </w:rPr>
        <w:t>年政府信息公开工作年度报告</w:t>
      </w:r>
    </w:p>
    <w:p>
      <w:pPr>
        <w:keepNext w:val="0"/>
        <w:keepLines w:val="0"/>
        <w:widowControl/>
        <w:suppressLineNumbers w:val="0"/>
        <w:shd w:val="clear" w:fill="FFFFFF"/>
        <w:spacing w:before="0" w:beforeAutospacing="0" w:after="0" w:afterAutospacing="0"/>
        <w:ind w:left="0" w:right="0"/>
        <w:jc w:val="both"/>
        <w:rPr>
          <w:rFonts w:hint="eastAsia" w:ascii="黑体" w:hAnsi="宋体" w:eastAsia="黑体" w:cs="黑体"/>
          <w:color w:val="333333"/>
          <w:kern w:val="0"/>
          <w:sz w:val="32"/>
          <w:szCs w:val="32"/>
          <w:shd w:val="clear" w:fill="FFFFFF"/>
          <w:lang w:val="en-US"/>
        </w:rPr>
      </w:pPr>
    </w:p>
    <w:p>
      <w:pPr>
        <w:pStyle w:val="5"/>
        <w:keepNext w:val="0"/>
        <w:keepLines w:val="0"/>
        <w:widowControl/>
        <w:suppressLineNumbers w:val="0"/>
        <w:shd w:val="clear" w:fill="FFFFFF"/>
        <w:ind w:left="0" w:firstLine="640"/>
        <w:rPr>
          <w:rFonts w:hint="eastAsia" w:ascii="黑体" w:hAnsi="宋体" w:eastAsia="黑体" w:cs="黑体"/>
          <w:color w:val="333333"/>
          <w:kern w:val="0"/>
          <w:sz w:val="32"/>
          <w:szCs w:val="32"/>
          <w:shd w:val="clear" w:fill="FFFFFF"/>
          <w:lang w:val="en-US"/>
        </w:rPr>
      </w:pPr>
      <w:r>
        <w:rPr>
          <w:rFonts w:hint="eastAsia" w:ascii="黑体" w:hAnsi="宋体" w:eastAsia="黑体" w:cs="黑体"/>
          <w:color w:val="333333"/>
          <w:kern w:val="0"/>
          <w:sz w:val="32"/>
          <w:szCs w:val="32"/>
          <w:shd w:val="clear" w:fill="FFFFFF"/>
          <w:lang w:eastAsia="zh-CN"/>
        </w:rPr>
        <w:t>一、总体情况</w:t>
      </w:r>
    </w:p>
    <w:p>
      <w:pPr>
        <w:pStyle w:val="2"/>
        <w:widowControl/>
        <w:spacing w:before="0" w:beforeAutospacing="0" w:after="0" w:afterAutospacing="0"/>
        <w:ind w:left="0" w:righ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lang w:eastAsia="zh-CN"/>
        </w:rPr>
        <w:t>年以来，我中心认真贯彻落实《中华人民共和国政府信息公开条例</w:t>
      </w:r>
      <w:bookmarkStart w:id="0" w:name="_GoBack"/>
      <w:bookmarkEnd w:id="0"/>
      <w:r>
        <w:rPr>
          <w:rFonts w:hint="eastAsia" w:ascii="仿宋_GB2312" w:hAnsi="仿宋_GB2312" w:eastAsia="仿宋_GB2312" w:cs="仿宋_GB2312"/>
          <w:sz w:val="32"/>
          <w:szCs w:val="32"/>
          <w:lang w:eastAsia="zh-CN"/>
        </w:rPr>
        <w:t>》和党工委、管委会工作部署要求，坚持以公开为常态、不公开为例外，加强组织领导，细化工作责任，完善工作制度，加强规范化建设，现将政府信息公开工作总结如下：</w:t>
      </w:r>
    </w:p>
    <w:p>
      <w:pPr>
        <w:pStyle w:val="2"/>
        <w:widowControl/>
        <w:spacing w:before="0" w:beforeAutospacing="0" w:after="0" w:afterAutospacing="0"/>
        <w:ind w:left="0" w:right="0"/>
        <w:rPr>
          <w:lang w:val="en-US"/>
        </w:rPr>
      </w:pPr>
    </w:p>
    <w:p>
      <w:pPr>
        <w:keepNext w:val="0"/>
        <w:keepLines w:val="0"/>
        <w:widowControl/>
        <w:suppressLineNumbers w:val="0"/>
        <w:shd w:val="clear" w:fill="FFFFFF"/>
        <w:spacing w:before="0" w:beforeAutospacing="0" w:after="240" w:afterAutospacing="0"/>
        <w:ind w:left="0" w:right="0" w:firstLine="640" w:firstLineChars="200"/>
        <w:jc w:val="both"/>
        <w:rPr>
          <w:rFonts w:hint="eastAsia" w:ascii="黑体" w:hAnsi="宋体" w:eastAsia="黑体" w:cs="黑体"/>
          <w:color w:val="333333"/>
          <w:kern w:val="0"/>
          <w:sz w:val="32"/>
          <w:szCs w:val="32"/>
          <w:shd w:val="clear" w:fill="FFFFFF"/>
          <w:lang w:val="en-US"/>
        </w:rPr>
      </w:pPr>
      <w:r>
        <w:rPr>
          <w:rFonts w:hint="eastAsia" w:ascii="黑体" w:hAnsi="宋体" w:eastAsia="黑体" w:cs="黑体"/>
          <w:color w:val="333333"/>
          <w:kern w:val="0"/>
          <w:sz w:val="32"/>
          <w:szCs w:val="32"/>
          <w:shd w:val="clear" w:fill="FFFFFF"/>
          <w:lang w:val="en-US" w:eastAsia="zh-CN" w:bidi="ar"/>
        </w:rPr>
        <w:t>二、主动公开政府信息情况</w:t>
      </w:r>
    </w:p>
    <w:tbl>
      <w:tblPr>
        <w:tblStyle w:val="3"/>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本年</w:t>
            </w:r>
            <w:r>
              <w:rPr>
                <w:rFonts w:hint="eastAsia" w:ascii="宋体" w:hAnsi="宋体" w:eastAsia="宋体" w:cs="宋体"/>
                <w:kern w:val="0"/>
                <w:sz w:val="20"/>
                <w:szCs w:val="20"/>
                <w:bdr w:val="none" w:color="auto" w:sz="0" w:space="0"/>
                <w:lang w:val="en-US" w:eastAsia="zh-CN" w:bidi="ar"/>
              </w:rPr>
              <w:t>制发件数</w:t>
            </w:r>
          </w:p>
        </w:tc>
        <w:tc>
          <w:tcPr>
            <w:tcW w:w="127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本年废止件数</w:t>
            </w:r>
          </w:p>
        </w:tc>
        <w:tc>
          <w:tcPr>
            <w:tcW w:w="188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规章</w:t>
            </w:r>
          </w:p>
        </w:tc>
        <w:tc>
          <w:tcPr>
            <w:tcW w:w="187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c>
          <w:tcPr>
            <w:tcW w:w="127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c>
          <w:tcPr>
            <w:tcW w:w="188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规范性文件</w:t>
            </w:r>
          </w:p>
        </w:tc>
        <w:tc>
          <w:tcPr>
            <w:tcW w:w="187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c>
          <w:tcPr>
            <w:tcW w:w="127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c>
          <w:tcPr>
            <w:tcW w:w="188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信息内容</w:t>
            </w:r>
          </w:p>
        </w:tc>
        <w:tc>
          <w:tcPr>
            <w:tcW w:w="5027" w:type="dxa"/>
            <w:gridSpan w:val="4"/>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行政许可</w:t>
            </w:r>
          </w:p>
        </w:tc>
        <w:tc>
          <w:tcPr>
            <w:tcW w:w="5027" w:type="dxa"/>
            <w:gridSpan w:val="4"/>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信息内容</w:t>
            </w:r>
          </w:p>
        </w:tc>
        <w:tc>
          <w:tcPr>
            <w:tcW w:w="5027" w:type="dxa"/>
            <w:gridSpan w:val="4"/>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行政处罚</w:t>
            </w:r>
          </w:p>
        </w:tc>
        <w:tc>
          <w:tcPr>
            <w:tcW w:w="5027" w:type="dxa"/>
            <w:gridSpan w:val="4"/>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行政强制</w:t>
            </w:r>
          </w:p>
        </w:tc>
        <w:tc>
          <w:tcPr>
            <w:tcW w:w="5027" w:type="dxa"/>
            <w:gridSpan w:val="4"/>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信息内容</w:t>
            </w:r>
          </w:p>
        </w:tc>
        <w:tc>
          <w:tcPr>
            <w:tcW w:w="5027" w:type="dxa"/>
            <w:gridSpan w:val="4"/>
            <w:tcBorders>
              <w:top w:val="nil"/>
              <w:left w:val="nil"/>
              <w:bottom w:val="single" w:color="auto" w:sz="8" w:space="0"/>
              <w:right w:val="single" w:color="000000"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本年收费金额（单位：万元，保留4位小数）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行政事业性收费</w:t>
            </w:r>
          </w:p>
        </w:tc>
        <w:tc>
          <w:tcPr>
            <w:tcW w:w="5027" w:type="dxa"/>
            <w:gridSpan w:val="4"/>
            <w:tcBorders>
              <w:top w:val="nil"/>
              <w:left w:val="nil"/>
              <w:bottom w:val="single" w:color="auto" w:sz="8" w:space="0"/>
              <w:right w:val="single" w:color="000000"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信息内容</w:t>
            </w:r>
          </w:p>
        </w:tc>
        <w:tc>
          <w:tcPr>
            <w:tcW w:w="1881"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采购总金额（单位:万元）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政府集中采购</w:t>
            </w:r>
          </w:p>
        </w:tc>
        <w:tc>
          <w:tcPr>
            <w:tcW w:w="1881"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0</w:t>
            </w:r>
          </w:p>
        </w:tc>
        <w:tc>
          <w:tcPr>
            <w:tcW w:w="3146" w:type="dxa"/>
            <w:gridSpan w:val="2"/>
            <w:tcBorders>
              <w:top w:val="nil"/>
              <w:left w:val="nil"/>
              <w:bottom w:val="single" w:color="auto" w:sz="8" w:space="0"/>
              <w:right w:val="single" w:color="000000" w:sz="8" w:space="0"/>
            </w:tcBorders>
            <w:shd w:val="clear"/>
            <w:noWrap/>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0</w:t>
            </w:r>
          </w:p>
        </w:tc>
      </w:tr>
    </w:tbl>
    <w:p>
      <w:pPr>
        <w:keepNext w:val="0"/>
        <w:keepLines w:val="0"/>
        <w:widowControl/>
        <w:suppressLineNumbers w:val="0"/>
        <w:shd w:val="clear" w:fill="FFFFFF"/>
        <w:spacing w:before="0" w:beforeAutospacing="0" w:after="240" w:afterAutospacing="0"/>
        <w:ind w:left="0" w:right="0"/>
        <w:jc w:val="both"/>
        <w:rPr>
          <w:rFonts w:hint="eastAsia" w:ascii="黑体" w:hAnsi="宋体" w:eastAsia="黑体" w:cs="黑体"/>
          <w:color w:val="333333"/>
          <w:kern w:val="0"/>
          <w:sz w:val="32"/>
          <w:szCs w:val="32"/>
          <w:shd w:val="clear" w:fill="FFFFFF"/>
          <w:lang w:val="en-US"/>
        </w:rPr>
      </w:pPr>
      <w:r>
        <w:rPr>
          <w:rFonts w:hint="eastAsia" w:ascii="黑体" w:hAnsi="宋体" w:eastAsia="黑体" w:cs="黑体"/>
          <w:color w:val="333333"/>
          <w:kern w:val="0"/>
          <w:sz w:val="32"/>
          <w:szCs w:val="32"/>
          <w:shd w:val="clear" w:fill="FFFFFF"/>
          <w:lang w:val="en-US" w:eastAsia="zh-CN" w:bidi="ar"/>
        </w:rPr>
        <w:t>三、收到和处理政府信息公开申请情况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13"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13"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商业企业</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科研机构</w:t>
            </w:r>
          </w:p>
        </w:tc>
        <w:tc>
          <w:tcPr>
            <w:tcW w:w="8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（一）予以公开</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69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94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（三）不予公开</w:t>
            </w: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1.属于国家秘密</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69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2.其他法律行政法规禁止公开</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3.危及“三安全一稳定”</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4.保护第三方合法权益</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5.属于三类内部事务信息</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6.属于四类过程性信息</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7.属于行政执法案卷</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8.属于行政查询事项</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（四）无法提供</w:t>
            </w: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1.本机关不掌握相关政府信息</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2.没有现成信息需要另行制作</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3.补正后申请内容仍不明确</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（五）不予处理</w:t>
            </w: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1.信访举报投诉类申请</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2.重复申请</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3.要求提供公开出版物</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4.无正当理由大量反复申请</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94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（六）其他处理</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94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楷体" w:hAnsi="楷体" w:eastAsia="楷体" w:cs="宋体"/>
                <w:kern w:val="0"/>
                <w:sz w:val="20"/>
                <w:szCs w:val="20"/>
                <w:bdr w:val="none" w:color="auto" w:sz="0" w:space="0"/>
                <w:lang w:val="en-US" w:eastAsia="zh-CN" w:bidi="ar"/>
              </w:rPr>
              <w:t>（七）总计</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四、结转下年度继续办理</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 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bl>
    <w:p>
      <w:pPr>
        <w:keepNext w:val="0"/>
        <w:keepLines w:val="0"/>
        <w:widowControl/>
        <w:suppressLineNumbers w:val="0"/>
        <w:shd w:val="clear" w:fill="FFFFFF"/>
        <w:spacing w:before="0" w:beforeAutospacing="0" w:after="0" w:afterAutospacing="0"/>
        <w:ind w:left="0" w:right="0"/>
        <w:jc w:val="both"/>
        <w:rPr>
          <w:rFonts w:hint="eastAsia" w:ascii="黑体" w:hAnsi="宋体" w:eastAsia="黑体" w:cs="黑体"/>
          <w:color w:val="333333"/>
          <w:kern w:val="0"/>
          <w:sz w:val="32"/>
          <w:szCs w:val="32"/>
          <w:shd w:val="clear" w:fill="FFFFFF"/>
          <w:lang w:val="en-US"/>
        </w:rPr>
      </w:pPr>
    </w:p>
    <w:p>
      <w:pPr>
        <w:keepNext w:val="0"/>
        <w:keepLines w:val="0"/>
        <w:widowControl/>
        <w:suppressLineNumbers w:val="0"/>
        <w:shd w:val="clear" w:fill="FFFFFF"/>
        <w:spacing w:before="0" w:beforeAutospacing="0" w:after="0" w:afterAutospacing="0"/>
        <w:ind w:left="0" w:right="0" w:firstLine="480"/>
        <w:jc w:val="both"/>
        <w:rPr>
          <w:rFonts w:hint="eastAsia" w:ascii="黑体" w:hAnsi="宋体" w:eastAsia="黑体" w:cs="黑体"/>
          <w:color w:val="333333"/>
          <w:kern w:val="0"/>
          <w:sz w:val="32"/>
          <w:szCs w:val="32"/>
          <w:shd w:val="clear" w:fill="FFFFFF"/>
          <w:lang w:val="en-US"/>
        </w:rPr>
      </w:pPr>
      <w:r>
        <w:rPr>
          <w:rFonts w:hint="eastAsia" w:ascii="黑体" w:hAnsi="宋体" w:eastAsia="黑体" w:cs="黑体"/>
          <w:color w:val="333333"/>
          <w:kern w:val="0"/>
          <w:sz w:val="32"/>
          <w:szCs w:val="32"/>
          <w:shd w:val="clear" w:fill="FFFFFF"/>
          <w:lang w:val="en-US" w:eastAsia="zh-CN" w:bidi="ar"/>
        </w:rPr>
        <w:t>四、政府信息公开行政复议、行政诉讼情况</w:t>
      </w:r>
    </w:p>
    <w:p>
      <w:pPr>
        <w:keepNext w:val="0"/>
        <w:keepLines w:val="0"/>
        <w:widowControl/>
        <w:suppressLineNumbers w:val="0"/>
        <w:shd w:val="clear" w:fill="FFFFFF"/>
        <w:spacing w:before="0" w:beforeAutospacing="0" w:after="0" w:afterAutospacing="0"/>
        <w:ind w:left="0" w:right="0" w:firstLine="480"/>
        <w:jc w:val="both"/>
        <w:rPr>
          <w:rFonts w:hint="eastAsia" w:ascii="宋体" w:hAnsi="宋体" w:eastAsia="宋体" w:cs="宋体"/>
          <w:color w:val="333333"/>
          <w:kern w:val="0"/>
          <w:sz w:val="22"/>
          <w:szCs w:val="22"/>
          <w:shd w:val="clear" w:fill="FFFFFF"/>
          <w:lang w:val="en-US"/>
        </w:rPr>
      </w:pP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结果维持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5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其他结果</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尚未审结</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总计</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结果维持</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其他结果</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0"/>
                <w:szCs w:val="20"/>
                <w:bdr w:val="none" w:color="auto" w:sz="0" w:space="0"/>
                <w:lang w:val="en-US" w:eastAsia="zh-CN" w:bidi="ar"/>
              </w:rPr>
              <w:t>尚未审结</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color w:val="000000"/>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mbria" w:hAnsi="Cambria"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bdr w:val="none" w:color="auto" w:sz="0" w:space="0"/>
                <w:lang w:val="en-US"/>
              </w:rPr>
            </w:pPr>
            <w:r>
              <w:rPr>
                <w:rFonts w:hint="default" w:ascii="Calibri" w:hAnsi="Calibri" w:eastAsia="宋体" w:cs="宋体"/>
                <w:kern w:val="0"/>
                <w:sz w:val="20"/>
                <w:szCs w:val="20"/>
                <w:bdr w:val="none" w:color="auto" w:sz="0" w:space="0"/>
                <w:lang w:val="en-US" w:eastAsia="zh-CN" w:bidi="ar"/>
              </w:rPr>
              <w:t>0</w:t>
            </w:r>
          </w:p>
        </w:tc>
      </w:tr>
    </w:tbl>
    <w:p>
      <w:pPr>
        <w:keepNext w:val="0"/>
        <w:keepLines w:val="0"/>
        <w:widowControl/>
        <w:suppressLineNumbers w:val="0"/>
        <w:shd w:val="clear" w:fill="FFFFFF"/>
        <w:spacing w:before="0" w:beforeAutospacing="0" w:after="0" w:afterAutospacing="0"/>
        <w:ind w:left="0" w:right="0"/>
        <w:jc w:val="center"/>
        <w:rPr>
          <w:rFonts w:hint="eastAsia" w:ascii="宋体" w:hAnsi="宋体" w:eastAsia="宋体" w:cs="宋体"/>
          <w:color w:val="333333"/>
          <w:kern w:val="0"/>
          <w:sz w:val="22"/>
          <w:szCs w:val="22"/>
          <w:shd w:val="clear" w:fill="FFFFFF"/>
          <w:lang w:val="en-US"/>
        </w:rPr>
      </w:pPr>
    </w:p>
    <w:p>
      <w:pPr>
        <w:keepNext w:val="0"/>
        <w:keepLines w:val="0"/>
        <w:widowControl/>
        <w:suppressLineNumbers w:val="0"/>
        <w:shd w:val="clear" w:fill="FFFFFF"/>
        <w:spacing w:before="0" w:beforeAutospacing="0" w:after="0" w:afterAutospacing="0"/>
        <w:ind w:left="0" w:right="0" w:firstLine="480"/>
        <w:jc w:val="both"/>
        <w:rPr>
          <w:rFonts w:hint="eastAsia" w:ascii="黑体" w:hAnsi="宋体" w:eastAsia="黑体" w:cs="黑体"/>
          <w:color w:val="333333"/>
          <w:kern w:val="0"/>
          <w:sz w:val="32"/>
          <w:szCs w:val="32"/>
          <w:shd w:val="clear" w:fill="FFFFFF"/>
          <w:lang w:val="en-US"/>
        </w:rPr>
      </w:pPr>
      <w:r>
        <w:rPr>
          <w:rFonts w:hint="eastAsia" w:ascii="黑体" w:hAnsi="宋体" w:eastAsia="黑体" w:cs="黑体"/>
          <w:color w:val="333333"/>
          <w:kern w:val="0"/>
          <w:sz w:val="32"/>
          <w:szCs w:val="32"/>
          <w:shd w:val="clear" w:fill="FFFFFF"/>
          <w:lang w:val="en-US" w:eastAsia="zh-CN" w:bidi="ar"/>
        </w:rPr>
        <w:t>五、存在的主要问题及改进情况</w:t>
      </w:r>
    </w:p>
    <w:p>
      <w:pPr>
        <w:pStyle w:val="2"/>
        <w:widowControl/>
        <w:spacing w:before="0" w:beforeAutospacing="0" w:after="0" w:afterAutospacing="0"/>
        <w:ind w:left="0" w:right="0" w:firstLine="640" w:firstLineChars="200"/>
        <w:rPr>
          <w:lang w:val="en-US"/>
        </w:rPr>
      </w:pP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lang w:eastAsia="zh-CN"/>
        </w:rPr>
        <w:t>年，开放招商和投资服务中心政府信息公开工作还存在以下问题有待改进：一是对新《条例》等学习不够深入；二是政府信息公开意识还不够强。为此，在今后的工作中将从以下几方面加强努力：一是加强对新《条例》和国务院办公厅《关于全面推进基层政务公开标准化规范化工作的指导意见》等文件精神的学习，不断提高业务工作水平；二是加强对政务公开工作的领导，明确具体工作人员，建立健全工作机制，确保把政务工作做实做好。</w:t>
      </w:r>
    </w:p>
    <w:p>
      <w:pPr>
        <w:keepNext w:val="0"/>
        <w:keepLines w:val="0"/>
        <w:widowControl/>
        <w:suppressLineNumbers w:val="0"/>
        <w:shd w:val="clear" w:fill="FFFFFF"/>
        <w:spacing w:before="0" w:beforeAutospacing="0" w:after="0" w:afterAutospacing="0"/>
        <w:ind w:left="0" w:right="0" w:firstLine="640" w:firstLineChars="200"/>
        <w:jc w:val="both"/>
        <w:rPr>
          <w:rFonts w:hint="eastAsia" w:ascii="黑体" w:hAnsi="宋体" w:eastAsia="黑体" w:cs="黑体"/>
          <w:color w:val="333333"/>
          <w:kern w:val="0"/>
          <w:sz w:val="32"/>
          <w:szCs w:val="32"/>
          <w:shd w:val="clear" w:fill="FFFFFF"/>
          <w:lang w:val="en-US"/>
        </w:rPr>
      </w:pPr>
      <w:r>
        <w:rPr>
          <w:rFonts w:hint="eastAsia" w:ascii="黑体" w:hAnsi="宋体" w:eastAsia="黑体" w:cs="黑体"/>
          <w:color w:val="333333"/>
          <w:kern w:val="0"/>
          <w:sz w:val="32"/>
          <w:szCs w:val="32"/>
          <w:shd w:val="clear" w:fill="FFFFFF"/>
          <w:lang w:val="en-US" w:eastAsia="zh-CN" w:bidi="ar"/>
        </w:rPr>
        <w:t>六、其他需要报告的事项</w:t>
      </w:r>
    </w:p>
    <w:p>
      <w:pPr>
        <w:keepNext w:val="0"/>
        <w:keepLines w:val="0"/>
        <w:widowControl/>
        <w:suppressLineNumbers w:val="0"/>
        <w:shd w:val="clear" w:fill="FFFFFF"/>
        <w:spacing w:before="0" w:beforeAutospacing="0" w:after="240" w:afterAutospacing="0"/>
        <w:ind w:left="0" w:right="0" w:firstLine="640" w:firstLineChars="200"/>
        <w:jc w:val="both"/>
      </w:pPr>
      <w:r>
        <w:rPr>
          <w:rFonts w:hint="eastAsia" w:ascii="仿宋_GB2312" w:hAnsi="仿宋_GB2312" w:eastAsia="仿宋_GB2312" w:cs="仿宋_GB2312"/>
          <w:color w:val="333333"/>
          <w:kern w:val="2"/>
          <w:sz w:val="32"/>
          <w:szCs w:val="32"/>
          <w:shd w:val="clear" w:fill="FFFFFF"/>
          <w:lang w:val="en-US" w:eastAsia="zh-CN" w:bidi="ar"/>
        </w:rPr>
        <w:t>无。</w:t>
      </w:r>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方正小标宋简体">
    <w:panose1 w:val="02010601030101010101"/>
    <w:charset w:val="86"/>
    <w:family w:val="auto"/>
    <w:pitch w:val="variable"/>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Cambria">
    <w:panose1 w:val="02040503050406030204"/>
    <w:charset w:val="00"/>
    <w:family w:val="auto"/>
    <w:pitch w:val="variable"/>
    <w:sig w:usb0="E00002FF" w:usb1="400004FF" w:usb2="00000000" w:usb3="00000000" w:csb0="2000019F" w:csb1="00000000"/>
  </w:font>
  <w:font w:name="@方正小标宋简体">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9226F"/>
    <w:rsid w:val="6CA9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5">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2022-01-17T01:29:00Z</dcterms:created>
  <dc:creator>Administrator</dc:creator>
  <cp:lastModifiedBy>Administrator</cp:lastModifiedBy>
  <dcterms:modified xsi:type="dcterms:W3CDTF">2022-01-17T01:31:18Z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65FB5B7D00C44188AFF27354361A91DD</vt:lpwstr>
  </property>
</Properties>
</file>