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焦作市城乡一体化示范区应急管理局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widowControl/>
        <w:shd w:val="clear" w:color="06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color="080000" w:fill="FFFFFF"/>
        </w:rPr>
        <w:t>一、总体情况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在区党工委、管委会的正确领导下，我局深入学习党的十九大和十九届历次全会精神，全面贯彻落实习近平总书记关于应急管理重要论述及指示批示精神，严格执行中央、省、市法治建设各项决策部署，积极推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执法“三项制度”，紧紧围绕应急管理和安全生产中心工作以及群众关注关切，依法、按时公开各种政府信息，不断强化信息公开的全面性，着力提高应急管理局机关行政透明度和办事效率，较好地维护了应急管理系统的政府公信力，有效营造了全社会重视、支持应急管理工作的良好舆论氛围，为全区经济社会的安全发展提供了良好的环境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2021年，我局未制定规章及规范性文件，未办理相关行政许可、行政处罚及其他对外管理服务事项，未收到政府信息公开和行政复议申请，未发生针对政府信息公开事务的行政诉讼，未设置行政事业性收费。</w:t>
      </w:r>
    </w:p>
    <w:p>
      <w:pPr>
        <w:widowControl/>
        <w:wordWrap/>
        <w:adjustRightIn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W w:w="90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2250"/>
        <w:gridCol w:w="2250"/>
        <w:gridCol w:w="2295"/>
      </w:tblGrid>
      <w:tr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第二十条第（一）项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制作数量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公开数量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对外公开总数量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规章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规范性文件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第二十条第（五）项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上一年项目数量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处理决定数量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行政许可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其他对外管理服务事项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第二十条第（六）项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上一年项目数量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处理决定数量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行政处罚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行政强制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第二十条第（八）项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上一年项目数量</w:t>
            </w:r>
          </w:p>
        </w:tc>
        <w:tc>
          <w:tcPr>
            <w:tcW w:w="4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本年增/减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行政事业性收费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第二十条第（九）项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信息内容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采购项目数量</w:t>
            </w:r>
          </w:p>
        </w:tc>
        <w:tc>
          <w:tcPr>
            <w:tcW w:w="4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采购总金额（单位：万元，保留4位小数）</w:t>
            </w:r>
          </w:p>
        </w:tc>
      </w:tr>
      <w:tr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政府集中采购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 w:val="0"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 w:val="0"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070000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070000" w:fill="FFFFFF"/>
        </w:rPr>
        <w:t> </w:t>
      </w:r>
    </w:p>
    <w:p>
      <w:pPr>
        <w:pStyle w:val="2"/>
        <w:widowControl/>
        <w:shd w:val="clear" w:color="05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三、收到和处理政府信息公开申请情况</w:t>
      </w:r>
    </w:p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8951" w:type="dxa"/>
        <w:jc w:val="center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987"/>
        <w:gridCol w:w="1820"/>
        <w:gridCol w:w="968"/>
        <w:gridCol w:w="810"/>
        <w:gridCol w:w="685"/>
        <w:gridCol w:w="966"/>
        <w:gridCol w:w="868"/>
        <w:gridCol w:w="604"/>
        <w:gridCol w:w="482"/>
      </w:tblGrid>
      <w:tr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-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8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9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4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9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4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trHeight w:val="505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</w:tbl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070000" w:fill="FFFFFF"/>
        </w:rPr>
        <w:t> </w:t>
      </w:r>
    </w:p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四、政府信息公开行政复议、行政诉讼情况</w:t>
      </w:r>
    </w:p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070000" w:fill="FFFFFF"/>
        </w:rPr>
        <w:t> </w:t>
      </w:r>
    </w:p>
    <w:tbl>
      <w:tblPr>
        <w:tblW w:w="8982" w:type="dxa"/>
        <w:jc w:val="center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44"/>
      </w:tblGrid>
      <w:tr>
        <w:trPr>
          <w:jc w:val="center"/>
        </w:trPr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614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行政诉讼</w:t>
            </w:r>
          </w:p>
        </w:tc>
      </w:tr>
      <w:tr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3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pacing w:line="560" w:lineRule="exact"/>
              <w:ind w:left="0" w:leftChars="0" w:right="0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wordWrap/>
              <w:adjustRightInd/>
              <w:spacing w:before="225" w:beforeAutospacing="0" w:after="225" w:afterAutospacing="0" w:line="560" w:lineRule="exact"/>
              <w:ind w:left="0" w:leftChars="0" w:right="0"/>
              <w:jc w:val="left"/>
              <w:textAlignment w:val="auto"/>
              <w:outlineLvl w:val="9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</w:tbl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070000" w:fill="FFFFFF"/>
        </w:rPr>
        <w:t> </w:t>
      </w:r>
    </w:p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五、存在的主要问题及改进情况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局政务公开工作取得了一定成效，但经过总结仍存在一些问题和差距：一是信息公开的内容需进一步丰富；二是对新媒体的应用还有待加强；三是主动公开意识还需进一步提高。针对这些存在的问题，我局在今后的工作中将从以下几个方面予以提升：一是进一步加大推介力度，多形式、多渠道，开展好应急管理及安全生产宣传；二是加强学习，掌握政务公开工作的新要求、新概念，提高工作的积极性和主动性；三是进一步完善信息公开制度，优化深化公开内容，推进政务公开工作再上新台阶。</w:t>
      </w:r>
    </w:p>
    <w:p>
      <w:pPr>
        <w:pStyle w:val="2"/>
        <w:widowControl/>
        <w:shd w:val="clear" w:color="050000" w:fill="FFFFFF"/>
        <w:wordWrap/>
        <w:adjustRightIn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六、其他需要报告的事项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ordWrap/>
        <w:adjustRightInd/>
        <w:spacing w:line="560" w:lineRule="exact"/>
        <w:ind w:left="0" w:leftChars="0" w:right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2020-01-21T02:37:00Z</dcterms:created>
  <dc:creator>Administrator</dc:creator>
  <cp:lastModifiedBy>NTKO</cp:lastModifiedBy>
  <cp:lastPrinted>2021-01-21T01:49:00Z</cp:lastPrinted>
  <dcterms:modified xsi:type="dcterms:W3CDTF">2022-01-27T01:04:15Z</dcterms:modified>
  <dc:title>焦作市城乡一体化示范区应急管理局2021年政府信息公开工作年度报告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