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5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年部门预算编制说明</w:t>
      </w:r>
    </w:p>
    <w:p>
      <w:pPr>
        <w:spacing w:line="556" w:lineRule="exact"/>
        <w:jc w:val="center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编制单位：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>示范区监察室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</w:p>
    <w:p>
      <w:pPr>
        <w:spacing w:line="556" w:lineRule="exact"/>
        <w:jc w:val="center"/>
        <w:rPr>
          <w:rFonts w:hint="eastAsia" w:ascii="宋体" w:hAnsi="宋体"/>
          <w:b/>
          <w:sz w:val="32"/>
          <w:szCs w:val="32"/>
          <w:u w:val="single"/>
        </w:rPr>
      </w:pPr>
    </w:p>
    <w:p>
      <w:pPr>
        <w:numPr>
          <w:ilvl w:val="0"/>
          <w:numId w:val="1"/>
        </w:numPr>
        <w:spacing w:line="556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单位构成情况和经费供给方式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 </w:t>
      </w:r>
    </w:p>
    <w:p>
      <w:pPr>
        <w:spacing w:line="556" w:lineRule="exact"/>
        <w:rPr>
          <w:rFonts w:hint="eastAsia" w:ascii="仿宋_GB2312" w:hAnsi="楷体_GB2312" w:eastAsia="仿宋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监察室无内设科室，1个归口预算管理单位；经费供给方式为全供。</w:t>
      </w:r>
    </w:p>
    <w:p>
      <w:pPr>
        <w:numPr>
          <w:ilvl w:val="0"/>
          <w:numId w:val="2"/>
        </w:numPr>
        <w:spacing w:line="556" w:lineRule="exact"/>
        <w:ind w:firstLine="66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职能和主要职责</w:t>
      </w:r>
    </w:p>
    <w:p>
      <w:pPr>
        <w:spacing w:line="55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纪工委监察室主要职责是加强全区党风廉政建设、负责全区行政监察工作、查办违纪案件及其他相关工作。</w:t>
      </w:r>
    </w:p>
    <w:p>
      <w:pPr>
        <w:spacing w:line="556" w:lineRule="exact"/>
        <w:ind w:firstLine="66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三、201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年主要工作目标</w:t>
      </w:r>
    </w:p>
    <w:p>
      <w:pPr>
        <w:spacing w:line="556" w:lineRule="exact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完成201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bCs/>
          <w:sz w:val="32"/>
          <w:szCs w:val="32"/>
        </w:rPr>
        <w:t>年目标任务，以及市纪委监察局和管委会交代的各项工作。</w:t>
      </w:r>
    </w:p>
    <w:p>
      <w:pPr>
        <w:spacing w:line="556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四、201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年部门预算编制原则</w:t>
      </w:r>
    </w:p>
    <w:p>
      <w:pPr>
        <w:spacing w:line="556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突出重点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、讲求绩效、厉行节约</w:t>
      </w:r>
      <w:r>
        <w:rPr>
          <w:rFonts w:hint="eastAsia" w:ascii="黑体" w:eastAsia="黑体"/>
          <w:sz w:val="32"/>
          <w:szCs w:val="32"/>
        </w:rPr>
        <w:t>。</w:t>
      </w:r>
    </w:p>
    <w:p>
      <w:pPr>
        <w:spacing w:line="556" w:lineRule="exact"/>
        <w:ind w:firstLine="66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五、201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年部门预算收支情况</w:t>
      </w:r>
    </w:p>
    <w:p>
      <w:pPr>
        <w:spacing w:line="556" w:lineRule="exact"/>
        <w:ind w:firstLine="66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（一）预算收入情况</w:t>
      </w:r>
    </w:p>
    <w:p>
      <w:pPr>
        <w:spacing w:line="556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……</w:t>
      </w:r>
    </w:p>
    <w:p>
      <w:pPr>
        <w:spacing w:line="556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（二）预算支出情况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96.72</w:t>
      </w:r>
      <w:r>
        <w:rPr>
          <w:rFonts w:hint="eastAsia" w:ascii="仿宋_GB2312" w:eastAsia="仿宋_GB2312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56.72</w:t>
      </w:r>
      <w:r>
        <w:rPr>
          <w:rFonts w:hint="eastAsia" w:ascii="仿宋_GB2312" w:eastAsia="仿宋_GB2312"/>
          <w:sz w:val="32"/>
          <w:szCs w:val="32"/>
        </w:rPr>
        <w:t>万元，含人员经费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49.36</w:t>
      </w:r>
      <w:r>
        <w:rPr>
          <w:rFonts w:hint="eastAsia" w:ascii="仿宋_GB2312" w:eastAsia="仿宋_GB2312"/>
          <w:sz w:val="32"/>
          <w:szCs w:val="32"/>
        </w:rPr>
        <w:t>万元，公用经费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7.36</w:t>
      </w:r>
      <w:r>
        <w:rPr>
          <w:rFonts w:hint="eastAsia" w:ascii="仿宋_GB2312" w:eastAsia="仿宋_GB2312"/>
          <w:sz w:val="32"/>
          <w:szCs w:val="32"/>
        </w:rPr>
        <w:t>万元；项目支出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">
    <w:nsid w:val="0000000B"/>
    <w:multiLevelType w:val="singleLevel"/>
    <w:tmpl w:val="0000000B"/>
    <w:lvl w:ilvl="0" w:tentative="1">
      <w:start w:val="1"/>
      <w:numFmt w:val="chineseCounting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1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2016-12-02T07:43:00Z</dcterms:created>
  <dc:creator>Administrator</dc:creator>
  <cp:lastModifiedBy>Administrator</cp:lastModifiedBy>
  <dcterms:modified xsi:type="dcterms:W3CDTF">2017-03-16T00:36:11Z</dcterms:modified>
  <dc:title>2017年部门预算编制说明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