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b w:val="0"/>
          <w:bCs/>
          <w:snapToGrid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b w:val="0"/>
          <w:bCs/>
          <w:snapToGrid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sz w:val="36"/>
          <w:szCs w:val="36"/>
        </w:rPr>
        <w:t>焦作市城乡一体化示范区</w:t>
      </w:r>
      <w:r>
        <w:rPr>
          <w:rFonts w:hint="eastAsia" w:ascii="宋体" w:hAnsi="宋体" w:eastAsia="宋体" w:cs="宋体"/>
          <w:b w:val="0"/>
          <w:bCs/>
          <w:snapToGrid w:val="0"/>
          <w:sz w:val="36"/>
          <w:szCs w:val="36"/>
          <w:lang w:eastAsia="zh-CN"/>
        </w:rPr>
        <w:t>机关事务管理中心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center"/>
        <w:rPr>
          <w:rFonts w:hint="eastAsia" w:ascii="宋体" w:hAnsi="宋体" w:eastAsia="宋体" w:cs="宋体"/>
          <w:color w:val="53535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535353"/>
          <w:kern w:val="0"/>
          <w:sz w:val="44"/>
          <w:szCs w:val="44"/>
          <w:lang w:val="en-US" w:eastAsia="zh-CN" w:bidi="ar"/>
        </w:rPr>
        <w:t>2016年预算说明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center"/>
        <w:rPr>
          <w:rFonts w:hint="eastAsia" w:ascii="宋体" w:hAnsi="宋体" w:eastAsia="宋体" w:cs="宋体"/>
          <w:color w:val="53535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一、部门机构设置、职能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机关事务管理中所属于区党政办公室下设二级机构，主要职责是做好机关内部事务管理、物业管理、车辆管理、固定资产管理、安全保卫、消防以及后勤服务等工作。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二、人员构成情况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机关事务管理中心共有编制人员30名，其中：事业编制30人；在职职工30人。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三、预算年度主要工作任务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1、做好车辆管理工作。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2、为了机关的正常运行，做好水、电、暖、网络、通讯等后勤保障工作。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3、做好餐厅的日常管理工作。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4、管理服务好区内所有会议的会场布置工作。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 w:bidi="ar"/>
        </w:rPr>
        <w:t>5、做好机关基础设施维护、维修等其他内务工作。</w:t>
      </w:r>
    </w:p>
    <w:p>
      <w:pPr>
        <w:widowControl/>
        <w:spacing w:line="600" w:lineRule="exact"/>
        <w:rPr>
          <w:rFonts w:hint="eastAsia" w:ascii="黑体" w:hAnsi="宋体" w:eastAsia="黑体" w:cs="黑体"/>
          <w:color w:val="535353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535353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</w:rPr>
        <w:t>完成201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</w:rPr>
        <w:t>年目标任务及管委会交办的各项工作。</w:t>
      </w: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535353"/>
          <w:kern w:val="0"/>
          <w:sz w:val="31"/>
          <w:szCs w:val="31"/>
        </w:rPr>
        <w:t xml:space="preserve">   </w:t>
      </w: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</w:rPr>
        <w:t>支出预算说明</w:t>
      </w:r>
    </w:p>
    <w:p>
      <w:pPr>
        <w:ind w:firstLine="640"/>
        <w:outlineLvl w:val="0"/>
        <w:rPr>
          <w:rFonts w:ascii="仿宋" w:hAnsi="仿宋" w:eastAsia="仿宋" w:cs="仿宋"/>
          <w:color w:val="535353"/>
          <w:kern w:val="0"/>
          <w:sz w:val="32"/>
          <w:szCs w:val="32"/>
        </w:rPr>
      </w:pPr>
      <w:r>
        <w:rPr>
          <w:rFonts w:ascii="仿宋" w:hAnsi="仿宋" w:eastAsia="仿宋" w:cs="仿宋"/>
          <w:color w:val="535353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color w:val="535353"/>
          <w:kern w:val="0"/>
          <w:sz w:val="32"/>
          <w:szCs w:val="32"/>
        </w:rPr>
        <w:t>年支出预算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492.85</w:t>
      </w:r>
      <w:r>
        <w:rPr>
          <w:rFonts w:ascii="仿宋" w:hAnsi="仿宋" w:eastAsia="仿宋" w:cs="仿宋"/>
          <w:color w:val="535353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比2016年预算减少40.8557万元。</w:t>
      </w:r>
      <w:r>
        <w:rPr>
          <w:rFonts w:ascii="仿宋" w:hAnsi="仿宋" w:eastAsia="仿宋" w:cs="仿宋"/>
          <w:color w:val="535353"/>
          <w:kern w:val="0"/>
          <w:sz w:val="32"/>
          <w:szCs w:val="32"/>
        </w:rPr>
        <w:t>其中：基本支出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221.27</w:t>
      </w:r>
      <w:r>
        <w:rPr>
          <w:rFonts w:ascii="仿宋" w:hAnsi="仿宋" w:eastAsia="仿宋" w:cs="仿宋"/>
          <w:color w:val="535353"/>
          <w:kern w:val="0"/>
          <w:sz w:val="32"/>
          <w:szCs w:val="32"/>
        </w:rPr>
        <w:t>万元，含人员经费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200.44</w:t>
      </w:r>
      <w:r>
        <w:rPr>
          <w:rFonts w:ascii="仿宋" w:hAnsi="仿宋" w:eastAsia="仿宋" w:cs="仿宋"/>
          <w:color w:val="535353"/>
          <w:kern w:val="0"/>
          <w:sz w:val="32"/>
          <w:szCs w:val="32"/>
        </w:rPr>
        <w:t>万元，公用经费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20.83</w:t>
      </w:r>
      <w:r>
        <w:rPr>
          <w:rFonts w:ascii="仿宋" w:hAnsi="仿宋" w:eastAsia="仿宋" w:cs="仿宋"/>
          <w:color w:val="535353"/>
          <w:kern w:val="0"/>
          <w:sz w:val="32"/>
          <w:szCs w:val="32"/>
        </w:rPr>
        <w:t>万元；项目支出</w:t>
      </w: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271.58</w:t>
      </w:r>
      <w:r>
        <w:rPr>
          <w:rFonts w:ascii="仿宋" w:hAnsi="仿宋" w:eastAsia="仿宋" w:cs="仿宋"/>
          <w:color w:val="535353"/>
          <w:kern w:val="0"/>
          <w:sz w:val="32"/>
          <w:szCs w:val="32"/>
        </w:rPr>
        <w:t>万元。</w:t>
      </w:r>
    </w:p>
    <w:p>
      <w:pPr>
        <w:widowControl/>
        <w:spacing w:line="600" w:lineRule="exact"/>
        <w:rPr>
          <w:rFonts w:hint="eastAsia" w:ascii="黑体" w:hAnsi="宋体" w:eastAsia="黑体" w:cs="黑体"/>
          <w:color w:val="535353"/>
          <w:kern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color w:val="535353"/>
          <w:kern w:val="0"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/>
        </w:rPr>
        <w:t xml:space="preserve"> 五、“三公”预算说明</w:t>
      </w:r>
    </w:p>
    <w:p>
      <w:pPr>
        <w:ind w:firstLine="640"/>
        <w:outlineLvl w:val="0"/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2017年“三公”预算共11.5万元。其中公务接待费6.3万元，公务运行维护费5.2万元，公务购车费0元，公务出国费用0元。</w:t>
      </w:r>
      <w:bookmarkStart w:id="0" w:name="_GoBack"/>
      <w:bookmarkEnd w:id="0"/>
    </w:p>
    <w:p>
      <w:pPr>
        <w:widowControl/>
        <w:spacing w:line="600" w:lineRule="exact"/>
        <w:ind w:firstLine="620"/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35353"/>
          <w:kern w:val="0"/>
          <w:sz w:val="32"/>
          <w:szCs w:val="32"/>
          <w:lang w:val="en-US" w:eastAsia="zh-CN"/>
        </w:rPr>
        <w:t>六、机关运行费说明</w:t>
      </w:r>
    </w:p>
    <w:p>
      <w:pPr>
        <w:ind w:firstLine="640"/>
        <w:outlineLvl w:val="0"/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>2017年机关运行费共计14.6元。其中，办公费1.68万元、水电费1.12万元、办公电话1.68万元、差旅费3.36万元、培训费1.02万元、工会经费2.55万元、福利费3.19万元。</w:t>
      </w:r>
    </w:p>
    <w:p>
      <w:pPr>
        <w:ind w:firstLine="640"/>
        <w:outlineLvl w:val="0"/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 xml:space="preserve">  </w:t>
      </w:r>
    </w:p>
    <w:p>
      <w:pPr>
        <w:ind w:firstLine="640"/>
        <w:outlineLvl w:val="0"/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</w:pPr>
    </w:p>
    <w:p>
      <w:pPr>
        <w:ind w:firstLine="640"/>
        <w:outlineLvl w:val="0"/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</w:pPr>
    </w:p>
    <w:p>
      <w:pPr>
        <w:ind w:firstLine="640"/>
        <w:outlineLvl w:val="0"/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 xml:space="preserve">               焦作市示范区机关事务管理中心</w:t>
      </w:r>
    </w:p>
    <w:p>
      <w:pPr>
        <w:ind w:firstLine="640"/>
        <w:outlineLvl w:val="0"/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35353"/>
          <w:kern w:val="0"/>
          <w:sz w:val="32"/>
          <w:szCs w:val="32"/>
          <w:lang w:val="en-US" w:eastAsia="zh-CN"/>
        </w:rPr>
        <w:t xml:space="preserve">                         2017年3月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46E82"/>
    <w:rsid w:val="3E7A0F85"/>
    <w:rsid w:val="488B6B45"/>
    <w:rsid w:val="5A046E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535353"/>
      <w:u w:val="none"/>
    </w:rPr>
  </w:style>
  <w:style w:type="character" w:styleId="4">
    <w:name w:val="Hyperlink"/>
    <w:basedOn w:val="2"/>
    <w:qFormat/>
    <w:uiPriority w:val="0"/>
    <w:rPr>
      <w:color w:val="53535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2016-02-06T00:55:00Z</dcterms:created>
  <dc:creator>Administrator</dc:creator>
  <cp:lastModifiedBy>Administrator</cp:lastModifiedBy>
  <dcterms:modified xsi:type="dcterms:W3CDTF">2017-03-17T02:30:15Z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